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FBF96" w14:textId="77777777" w:rsidR="00EE7D76" w:rsidRPr="00EE7D76" w:rsidRDefault="00D61BB6" w:rsidP="00EE7D76">
      <w:pPr>
        <w:rPr>
          <w:sz w:val="20"/>
          <w:szCs w:val="20"/>
        </w:rPr>
      </w:pPr>
      <w:r w:rsidRPr="006479DF" w:rsidDel="00E701EB">
        <w:rPr>
          <w:sz w:val="20"/>
          <w:szCs w:val="20"/>
        </w:rPr>
        <w:t xml:space="preserve"> </w:t>
      </w:r>
      <w:r w:rsidR="00EE7D76" w:rsidRPr="00EE7D76">
        <w:rPr>
          <w:b/>
          <w:noProof/>
        </w:rPr>
        <w:drawing>
          <wp:anchor distT="0" distB="0" distL="114300" distR="114300" simplePos="0" relativeHeight="251660288" behindDoc="0" locked="0" layoutInCell="1" allowOverlap="1" wp14:anchorId="01402794" wp14:editId="153B1BE8">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EE7D76" w:rsidRPr="00EE7D76">
        <w:rPr>
          <w:rFonts w:ascii="Arial" w:hAnsi="Arial" w:cs="Arial"/>
          <w:noProof/>
          <w:sz w:val="20"/>
          <w:szCs w:val="20"/>
        </w:rPr>
        <w:drawing>
          <wp:anchor distT="0" distB="0" distL="114300" distR="114300" simplePos="0" relativeHeight="251659264" behindDoc="1" locked="0" layoutInCell="1" allowOverlap="1" wp14:anchorId="17AA3D2C" wp14:editId="78F96E33">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EE7D76" w:rsidRPr="00EE7D76" w:rsidDel="00E701EB">
        <w:rPr>
          <w:sz w:val="20"/>
          <w:szCs w:val="20"/>
        </w:rPr>
        <w:t xml:space="preserve"> </w:t>
      </w:r>
      <w:r w:rsidR="00EE7D76" w:rsidRPr="00EE7D76">
        <w:rPr>
          <w:sz w:val="20"/>
          <w:szCs w:val="20"/>
        </w:rPr>
        <w:tab/>
      </w:r>
      <w:r w:rsidR="00EE7D76" w:rsidRPr="00EE7D76">
        <w:rPr>
          <w:sz w:val="20"/>
          <w:szCs w:val="20"/>
        </w:rPr>
        <w:tab/>
      </w:r>
    </w:p>
    <w:p w14:paraId="78B5BFF2" w14:textId="77777777" w:rsidR="00EE7D76" w:rsidRPr="00EE7D76" w:rsidRDefault="00EE7D76" w:rsidP="00EE7D76">
      <w:pPr>
        <w:rPr>
          <w:sz w:val="20"/>
          <w:szCs w:val="20"/>
        </w:rPr>
      </w:pPr>
    </w:p>
    <w:p w14:paraId="6F91A910" w14:textId="77777777" w:rsidR="00EE7D76" w:rsidRPr="00EE7D76" w:rsidRDefault="00EE7D76" w:rsidP="00EE7D76">
      <w:pPr>
        <w:rPr>
          <w:b/>
          <w:sz w:val="20"/>
          <w:szCs w:val="20"/>
        </w:rPr>
      </w:pPr>
      <w:r w:rsidRPr="00EE7D76">
        <w:rPr>
          <w:sz w:val="20"/>
          <w:szCs w:val="20"/>
        </w:rPr>
        <w:tab/>
      </w:r>
      <w:r w:rsidRPr="00EE7D76">
        <w:rPr>
          <w:sz w:val="20"/>
          <w:szCs w:val="20"/>
        </w:rPr>
        <w:tab/>
      </w:r>
      <w:r w:rsidRPr="00EE7D76">
        <w:rPr>
          <w:sz w:val="20"/>
          <w:szCs w:val="20"/>
        </w:rPr>
        <w:tab/>
        <w:t xml:space="preserve">    </w:t>
      </w:r>
      <w:r w:rsidRPr="00EE7D76">
        <w:rPr>
          <w:sz w:val="20"/>
          <w:szCs w:val="20"/>
        </w:rPr>
        <w:tab/>
      </w:r>
      <w:r w:rsidRPr="00EE7D76">
        <w:rPr>
          <w:sz w:val="20"/>
          <w:szCs w:val="20"/>
        </w:rPr>
        <w:tab/>
      </w:r>
      <w:r w:rsidRPr="00EE7D76">
        <w:rPr>
          <w:sz w:val="20"/>
          <w:szCs w:val="20"/>
        </w:rPr>
        <w:tab/>
      </w:r>
    </w:p>
    <w:p w14:paraId="420FB848" w14:textId="77777777" w:rsidR="00EE7D76" w:rsidRPr="00EE7D76" w:rsidRDefault="00EE7D76" w:rsidP="00EE7D76">
      <w:pPr>
        <w:rPr>
          <w:b/>
          <w:sz w:val="20"/>
          <w:szCs w:val="20"/>
        </w:rPr>
      </w:pPr>
    </w:p>
    <w:p w14:paraId="701D8A87" w14:textId="77777777" w:rsidR="00EE7D76" w:rsidRPr="00EE7D76" w:rsidRDefault="00EE7D76" w:rsidP="00EE7D76">
      <w:pPr>
        <w:rPr>
          <w:b/>
          <w:sz w:val="20"/>
          <w:szCs w:val="20"/>
        </w:rPr>
      </w:pPr>
    </w:p>
    <w:p w14:paraId="38585E38" w14:textId="77777777" w:rsidR="00EE7D76" w:rsidRPr="00EE7D76" w:rsidRDefault="00EE7D76" w:rsidP="00EE7D76">
      <w:pPr>
        <w:rPr>
          <w:b/>
          <w:sz w:val="20"/>
          <w:szCs w:val="20"/>
        </w:rPr>
      </w:pPr>
    </w:p>
    <w:p w14:paraId="312369E1" w14:textId="77777777" w:rsidR="00EE7D76" w:rsidRPr="00EE7D76" w:rsidRDefault="00EE7D76" w:rsidP="00EE7D76">
      <w:pPr>
        <w:rPr>
          <w:b/>
          <w:sz w:val="20"/>
          <w:szCs w:val="20"/>
        </w:rPr>
      </w:pPr>
    </w:p>
    <w:p w14:paraId="36A1A6EB" w14:textId="77777777" w:rsidR="00EE7D76" w:rsidRPr="00EE7D76" w:rsidRDefault="00EE7D76" w:rsidP="00EE7D76">
      <w:pPr>
        <w:ind w:right="6802"/>
        <w:jc w:val="center"/>
        <w:rPr>
          <w:rFonts w:ascii="Arial" w:hAnsi="Arial" w:cs="Arial"/>
          <w:sz w:val="20"/>
          <w:szCs w:val="20"/>
        </w:rPr>
      </w:pPr>
      <w:r w:rsidRPr="00EE7D76">
        <w:rPr>
          <w:rFonts w:ascii="Arial" w:hAnsi="Arial" w:cs="Arial"/>
          <w:sz w:val="20"/>
          <w:szCs w:val="20"/>
        </w:rPr>
        <w:t>Európska únia</w:t>
      </w:r>
    </w:p>
    <w:p w14:paraId="728D5877" w14:textId="77777777" w:rsidR="00EE7D76" w:rsidRPr="00EE7D76" w:rsidRDefault="00EE7D76" w:rsidP="00EE7D76">
      <w:pPr>
        <w:ind w:right="6802"/>
        <w:jc w:val="center"/>
        <w:rPr>
          <w:rFonts w:ascii="Arial" w:hAnsi="Arial" w:cs="Arial"/>
          <w:sz w:val="20"/>
          <w:szCs w:val="20"/>
        </w:rPr>
      </w:pPr>
      <w:r w:rsidRPr="00EE7D76">
        <w:rPr>
          <w:rFonts w:ascii="Arial" w:hAnsi="Arial" w:cs="Arial"/>
          <w:sz w:val="20"/>
          <w:szCs w:val="20"/>
        </w:rPr>
        <w:t>Európsky fond regionálneho</w:t>
      </w:r>
    </w:p>
    <w:p w14:paraId="3387B7EE" w14:textId="77777777" w:rsidR="00EE7D76" w:rsidRPr="00EE7D76" w:rsidRDefault="00EE7D76" w:rsidP="00EE7D76">
      <w:pPr>
        <w:ind w:right="6802"/>
        <w:jc w:val="center"/>
        <w:rPr>
          <w:b/>
          <w:sz w:val="20"/>
          <w:szCs w:val="20"/>
        </w:rPr>
      </w:pPr>
      <w:r w:rsidRPr="00EE7D76">
        <w:rPr>
          <w:rFonts w:ascii="Arial" w:hAnsi="Arial" w:cs="Arial"/>
          <w:sz w:val="20"/>
          <w:szCs w:val="20"/>
        </w:rPr>
        <w:t>rozvoja</w:t>
      </w:r>
    </w:p>
    <w:p w14:paraId="78A7F21C" w14:textId="77777777" w:rsidR="003B0DFE" w:rsidRPr="006479DF" w:rsidRDefault="003B0DFE" w:rsidP="00D61BB6">
      <w:pPr>
        <w:jc w:val="center"/>
        <w:rPr>
          <w:b/>
          <w:sz w:val="20"/>
          <w:szCs w:val="20"/>
        </w:rPr>
      </w:pPr>
    </w:p>
    <w:p w14:paraId="5E001568" w14:textId="4FB3089C" w:rsidR="00C6439D" w:rsidRDefault="00D239D4" w:rsidP="00541FF5">
      <w:pPr>
        <w:jc w:val="center"/>
        <w:rPr>
          <w:b/>
          <w:sz w:val="40"/>
          <w:szCs w:val="20"/>
        </w:rPr>
      </w:pPr>
      <w:r>
        <w:rPr>
          <w:b/>
          <w:sz w:val="40"/>
          <w:szCs w:val="20"/>
        </w:rPr>
        <w:t xml:space="preserve">Metodický </w:t>
      </w:r>
      <w:r w:rsidR="00942655">
        <w:rPr>
          <w:b/>
          <w:sz w:val="40"/>
          <w:szCs w:val="20"/>
        </w:rPr>
        <w:t>výklad</w:t>
      </w:r>
      <w:r w:rsidR="00D61BB6" w:rsidRPr="009836CF">
        <w:rPr>
          <w:b/>
          <w:sz w:val="40"/>
          <w:szCs w:val="20"/>
        </w:rPr>
        <w:t xml:space="preserve"> </w:t>
      </w:r>
      <w:r w:rsidR="00D61BB6" w:rsidRPr="00942655">
        <w:rPr>
          <w:b/>
          <w:sz w:val="40"/>
          <w:szCs w:val="40"/>
        </w:rPr>
        <w:t xml:space="preserve">CKO č. </w:t>
      </w:r>
      <w:sdt>
        <w:sdtPr>
          <w:rPr>
            <w:b/>
            <w:sz w:val="40"/>
            <w:szCs w:val="40"/>
          </w:rPr>
          <w:alias w:val="Poradové číslo vzoru"/>
          <w:tag w:val="Poradové číslo vzoru"/>
          <w:id w:val="-123233620"/>
          <w:placeholder>
            <w:docPart w:val="A4219D09901046338368609D5773AFB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43CA3">
            <w:rPr>
              <w:b/>
              <w:sz w:val="40"/>
              <w:szCs w:val="40"/>
            </w:rPr>
            <w:t>6</w:t>
          </w:r>
        </w:sdtContent>
      </w:sdt>
    </w:p>
    <w:p w14:paraId="44420CB9" w14:textId="77777777" w:rsidR="00C1330F" w:rsidRDefault="00C1330F" w:rsidP="00D61BB6">
      <w:pPr>
        <w:jc w:val="center"/>
        <w:rPr>
          <w:b/>
          <w:sz w:val="20"/>
          <w:szCs w:val="20"/>
        </w:rPr>
      </w:pPr>
    </w:p>
    <w:p w14:paraId="34EEFC29" w14:textId="77777777" w:rsidR="003B0DFE" w:rsidRPr="006479DF" w:rsidRDefault="003B0DFE" w:rsidP="00D61BB6">
      <w:pPr>
        <w:jc w:val="center"/>
        <w:rPr>
          <w:b/>
          <w:sz w:val="20"/>
          <w:szCs w:val="20"/>
        </w:rPr>
      </w:pPr>
    </w:p>
    <w:p w14:paraId="4F4C7A66" w14:textId="77777777" w:rsidR="00D61BB6" w:rsidRPr="009836CF" w:rsidRDefault="00D61BB6" w:rsidP="00D61BB6">
      <w:pPr>
        <w:jc w:val="center"/>
        <w:rPr>
          <w:b/>
          <w:sz w:val="28"/>
          <w:szCs w:val="20"/>
        </w:rPr>
      </w:pPr>
      <w:r w:rsidRPr="009836CF">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BD4B4" w:themeFill="accent6" w:themeFillTint="66"/>
        <w:tblLook w:val="04A0" w:firstRow="1" w:lastRow="0" w:firstColumn="1" w:lastColumn="0" w:noHBand="0" w:noVBand="1"/>
      </w:tblPr>
      <w:tblGrid>
        <w:gridCol w:w="2268"/>
        <w:gridCol w:w="6696"/>
      </w:tblGrid>
      <w:tr w:rsidR="009836CF" w:rsidRPr="009836CF" w14:paraId="2F05B2EF" w14:textId="77777777" w:rsidTr="003437EB">
        <w:tc>
          <w:tcPr>
            <w:tcW w:w="2268" w:type="dxa"/>
            <w:shd w:val="clear" w:color="auto" w:fill="FBD4B4" w:themeFill="accent6" w:themeFillTint="66"/>
          </w:tcPr>
          <w:p w14:paraId="44007C29" w14:textId="77777777" w:rsidR="009836CF" w:rsidRPr="0084743A" w:rsidRDefault="009836CF" w:rsidP="006479DF">
            <w:pPr>
              <w:rPr>
                <w:b/>
                <w:sz w:val="26"/>
                <w:szCs w:val="26"/>
              </w:rPr>
            </w:pPr>
            <w:r w:rsidRPr="0084743A">
              <w:rPr>
                <w:b/>
                <w:sz w:val="26"/>
                <w:szCs w:val="26"/>
              </w:rPr>
              <w:t>Vec:</w:t>
            </w:r>
            <w:r w:rsidR="00315873">
              <w:rPr>
                <w:b/>
                <w:sz w:val="26"/>
                <w:szCs w:val="26"/>
              </w:rPr>
              <w:t xml:space="preserve">     </w:t>
            </w:r>
          </w:p>
          <w:p w14:paraId="61A81A51" w14:textId="77777777" w:rsidR="0084743A" w:rsidRPr="0084743A" w:rsidRDefault="0084743A" w:rsidP="006479DF">
            <w:pPr>
              <w:rPr>
                <w:b/>
                <w:sz w:val="26"/>
                <w:szCs w:val="26"/>
              </w:rPr>
            </w:pPr>
          </w:p>
          <w:p w14:paraId="09068513" w14:textId="77777777" w:rsidR="0084743A" w:rsidRPr="0084743A" w:rsidRDefault="0084743A" w:rsidP="006479DF">
            <w:pPr>
              <w:rPr>
                <w:b/>
                <w:sz w:val="26"/>
                <w:szCs w:val="26"/>
              </w:rPr>
            </w:pPr>
          </w:p>
          <w:p w14:paraId="5A2BCFBD" w14:textId="77777777" w:rsidR="0084743A" w:rsidRPr="0084743A" w:rsidRDefault="0084743A" w:rsidP="006479DF">
            <w:pPr>
              <w:rPr>
                <w:b/>
                <w:sz w:val="26"/>
                <w:szCs w:val="26"/>
              </w:rPr>
            </w:pPr>
          </w:p>
        </w:tc>
        <w:tc>
          <w:tcPr>
            <w:tcW w:w="6696" w:type="dxa"/>
            <w:shd w:val="clear" w:color="auto" w:fill="FBD4B4" w:themeFill="accent6" w:themeFillTint="66"/>
          </w:tcPr>
          <w:p w14:paraId="1584C304" w14:textId="056DE15B" w:rsidR="009836CF" w:rsidRDefault="00315873" w:rsidP="006A5157">
            <w:pPr>
              <w:jc w:val="both"/>
              <w:rPr>
                <w:szCs w:val="20"/>
              </w:rPr>
            </w:pPr>
            <w:r w:rsidRPr="00315873">
              <w:rPr>
                <w:szCs w:val="20"/>
              </w:rPr>
              <w:t xml:space="preserve">Metodický výklad </w:t>
            </w:r>
            <w:r w:rsidR="000549A1">
              <w:rPr>
                <w:szCs w:val="20"/>
              </w:rPr>
              <w:t>k zadávaniu</w:t>
            </w:r>
            <w:r w:rsidRPr="00315873">
              <w:rPr>
                <w:szCs w:val="20"/>
              </w:rPr>
              <w:t xml:space="preserve"> a kontrol</w:t>
            </w:r>
            <w:r w:rsidR="000549A1">
              <w:rPr>
                <w:szCs w:val="20"/>
              </w:rPr>
              <w:t>e</w:t>
            </w:r>
            <w:r w:rsidRPr="00315873">
              <w:rPr>
                <w:szCs w:val="20"/>
              </w:rPr>
              <w:t xml:space="preserve"> zákaziek vyhlásených osobou, ktorej verejný obstarávateľ poskytne 50% a menej finančných prostriedkov na dodanie tovaru, uskutočnenie stavebných prác a poskytnutie služieb z ne</w:t>
            </w:r>
            <w:r w:rsidR="006C3BF1">
              <w:rPr>
                <w:szCs w:val="20"/>
              </w:rPr>
              <w:t>návratného finančného príspevku</w:t>
            </w:r>
          </w:p>
          <w:p w14:paraId="5DCD7B72" w14:textId="74DB20C3" w:rsidR="009C0D0A" w:rsidRPr="009836CF" w:rsidRDefault="009C0D0A" w:rsidP="006A5157">
            <w:pPr>
              <w:jc w:val="both"/>
              <w:rPr>
                <w:szCs w:val="20"/>
              </w:rPr>
            </w:pPr>
          </w:p>
        </w:tc>
      </w:tr>
      <w:tr w:rsidR="009836CF" w:rsidRPr="009836CF" w14:paraId="0A187760" w14:textId="77777777" w:rsidTr="003437EB">
        <w:tc>
          <w:tcPr>
            <w:tcW w:w="2268" w:type="dxa"/>
            <w:shd w:val="clear" w:color="auto" w:fill="FBD4B4" w:themeFill="accent6" w:themeFillTint="66"/>
          </w:tcPr>
          <w:p w14:paraId="08AE5198" w14:textId="77777777" w:rsidR="009836CF" w:rsidRPr="0084743A" w:rsidRDefault="009836CF" w:rsidP="006479DF">
            <w:pPr>
              <w:rPr>
                <w:b/>
                <w:sz w:val="26"/>
                <w:szCs w:val="26"/>
              </w:rPr>
            </w:pPr>
            <w:r w:rsidRPr="0084743A">
              <w:rPr>
                <w:b/>
                <w:sz w:val="26"/>
                <w:szCs w:val="26"/>
              </w:rPr>
              <w:t>Určené pre:</w:t>
            </w:r>
          </w:p>
          <w:p w14:paraId="227CF4BC" w14:textId="77777777" w:rsidR="0084743A" w:rsidRPr="0084743A" w:rsidRDefault="0084743A" w:rsidP="006479DF">
            <w:pPr>
              <w:rPr>
                <w:b/>
                <w:sz w:val="26"/>
                <w:szCs w:val="26"/>
              </w:rPr>
            </w:pPr>
          </w:p>
          <w:p w14:paraId="2EC592D6" w14:textId="77777777" w:rsidR="0084743A" w:rsidRPr="0084743A" w:rsidRDefault="0084743A" w:rsidP="006479DF">
            <w:pPr>
              <w:rPr>
                <w:b/>
                <w:sz w:val="26"/>
                <w:szCs w:val="26"/>
              </w:rPr>
            </w:pPr>
          </w:p>
          <w:p w14:paraId="6C9EDA9B" w14:textId="77777777" w:rsidR="0084743A" w:rsidRPr="0084743A" w:rsidRDefault="0084743A" w:rsidP="006479DF">
            <w:pPr>
              <w:rPr>
                <w:b/>
                <w:sz w:val="26"/>
                <w:szCs w:val="26"/>
              </w:rPr>
            </w:pPr>
          </w:p>
        </w:tc>
        <w:tc>
          <w:tcPr>
            <w:tcW w:w="6696" w:type="dxa"/>
            <w:shd w:val="clear" w:color="auto" w:fill="FBD4B4" w:themeFill="accent6" w:themeFillTint="66"/>
          </w:tcPr>
          <w:p w14:paraId="6777702C" w14:textId="77777777" w:rsidR="009C0D0A" w:rsidRPr="00113AA3" w:rsidRDefault="009C0D0A" w:rsidP="009C0D0A">
            <w:pPr>
              <w:jc w:val="both"/>
            </w:pPr>
            <w:r w:rsidRPr="00113AA3">
              <w:t>Riadiace orgány</w:t>
            </w:r>
          </w:p>
          <w:p w14:paraId="2535555C" w14:textId="6C173348" w:rsidR="009836CF" w:rsidRPr="009836CF" w:rsidRDefault="009C0D0A" w:rsidP="009C0D0A">
            <w:pPr>
              <w:jc w:val="both"/>
              <w:rPr>
                <w:szCs w:val="20"/>
              </w:rPr>
            </w:pPr>
            <w:r w:rsidRPr="00113AA3">
              <w:t>Sprostredkovateľské orgány</w:t>
            </w:r>
          </w:p>
        </w:tc>
      </w:tr>
      <w:tr w:rsidR="009836CF" w:rsidRPr="009836CF" w14:paraId="7C8C4838" w14:textId="77777777" w:rsidTr="003437EB">
        <w:tc>
          <w:tcPr>
            <w:tcW w:w="2268" w:type="dxa"/>
            <w:shd w:val="clear" w:color="auto" w:fill="FBD4B4" w:themeFill="accent6" w:themeFillTint="66"/>
          </w:tcPr>
          <w:p w14:paraId="67A86641" w14:textId="77777777" w:rsidR="009836CF" w:rsidRPr="0084743A" w:rsidRDefault="00116F61" w:rsidP="006479DF">
            <w:pPr>
              <w:rPr>
                <w:b/>
                <w:sz w:val="26"/>
                <w:szCs w:val="26"/>
              </w:rPr>
            </w:pPr>
            <w:r w:rsidRPr="0084743A">
              <w:rPr>
                <w:b/>
                <w:sz w:val="26"/>
                <w:szCs w:val="26"/>
              </w:rPr>
              <w:t>Na vedomie:</w:t>
            </w:r>
          </w:p>
          <w:p w14:paraId="4267B749" w14:textId="77777777" w:rsidR="0084743A" w:rsidRPr="0084743A" w:rsidRDefault="0084743A" w:rsidP="006479DF">
            <w:pPr>
              <w:rPr>
                <w:b/>
                <w:sz w:val="26"/>
                <w:szCs w:val="26"/>
              </w:rPr>
            </w:pPr>
          </w:p>
          <w:p w14:paraId="1FEF4609" w14:textId="77777777" w:rsidR="0084743A" w:rsidRPr="0084743A" w:rsidRDefault="0084743A" w:rsidP="006479DF">
            <w:pPr>
              <w:rPr>
                <w:b/>
                <w:sz w:val="26"/>
                <w:szCs w:val="26"/>
              </w:rPr>
            </w:pPr>
          </w:p>
          <w:p w14:paraId="395E8AEE" w14:textId="77777777" w:rsidR="0084743A" w:rsidRPr="0084743A" w:rsidRDefault="0084743A" w:rsidP="006479DF">
            <w:pPr>
              <w:rPr>
                <w:b/>
                <w:sz w:val="26"/>
                <w:szCs w:val="26"/>
              </w:rPr>
            </w:pPr>
          </w:p>
        </w:tc>
        <w:tc>
          <w:tcPr>
            <w:tcW w:w="6696" w:type="dxa"/>
            <w:shd w:val="clear" w:color="auto" w:fill="FBD4B4" w:themeFill="accent6" w:themeFillTint="66"/>
          </w:tcPr>
          <w:p w14:paraId="3825F3E2" w14:textId="77777777" w:rsidR="009C0D0A" w:rsidRPr="00113AA3" w:rsidRDefault="009C0D0A" w:rsidP="009C0D0A">
            <w:pPr>
              <w:jc w:val="both"/>
            </w:pPr>
            <w:r w:rsidRPr="00113AA3">
              <w:t>Certifikačný orgán</w:t>
            </w:r>
          </w:p>
          <w:p w14:paraId="2309E4A5" w14:textId="77777777" w:rsidR="009C0D0A" w:rsidRPr="00113AA3" w:rsidRDefault="009C0D0A" w:rsidP="009C0D0A">
            <w:pPr>
              <w:jc w:val="both"/>
            </w:pPr>
            <w:r w:rsidRPr="00113AA3">
              <w:t>Orgán auditu</w:t>
            </w:r>
          </w:p>
          <w:p w14:paraId="7B04A71F" w14:textId="77777777" w:rsidR="009836CF" w:rsidRPr="009836CF" w:rsidRDefault="009836CF" w:rsidP="006A5157">
            <w:pPr>
              <w:jc w:val="both"/>
              <w:rPr>
                <w:szCs w:val="20"/>
              </w:rPr>
            </w:pPr>
          </w:p>
        </w:tc>
      </w:tr>
      <w:tr w:rsidR="009836CF" w:rsidRPr="009836CF" w14:paraId="16BFFD36" w14:textId="77777777" w:rsidTr="003437EB">
        <w:tc>
          <w:tcPr>
            <w:tcW w:w="2268" w:type="dxa"/>
            <w:shd w:val="clear" w:color="auto" w:fill="FBD4B4" w:themeFill="accent6" w:themeFillTint="66"/>
          </w:tcPr>
          <w:p w14:paraId="2CBB8534" w14:textId="77777777" w:rsidR="009836CF" w:rsidRPr="0084743A" w:rsidRDefault="00116F61" w:rsidP="006479DF">
            <w:pPr>
              <w:rPr>
                <w:b/>
                <w:sz w:val="26"/>
                <w:szCs w:val="26"/>
              </w:rPr>
            </w:pPr>
            <w:r w:rsidRPr="0084743A">
              <w:rPr>
                <w:b/>
                <w:sz w:val="26"/>
                <w:szCs w:val="26"/>
              </w:rPr>
              <w:t>Vydáva:</w:t>
            </w:r>
          </w:p>
          <w:p w14:paraId="30F1F548" w14:textId="77777777" w:rsidR="0084743A" w:rsidRPr="003B0DFE" w:rsidRDefault="0084743A" w:rsidP="006479DF">
            <w:pPr>
              <w:rPr>
                <w:b/>
                <w:sz w:val="16"/>
                <w:szCs w:val="20"/>
              </w:rPr>
            </w:pPr>
          </w:p>
          <w:p w14:paraId="4D5B9962" w14:textId="77777777" w:rsidR="003B0DFE" w:rsidRDefault="003B0DFE" w:rsidP="006479DF">
            <w:pPr>
              <w:rPr>
                <w:b/>
                <w:sz w:val="16"/>
                <w:szCs w:val="20"/>
              </w:rPr>
            </w:pPr>
          </w:p>
          <w:p w14:paraId="4E18105B" w14:textId="77777777" w:rsidR="003B0DFE" w:rsidRDefault="003B0DFE" w:rsidP="006479DF">
            <w:pPr>
              <w:rPr>
                <w:b/>
                <w:sz w:val="16"/>
                <w:szCs w:val="20"/>
              </w:rPr>
            </w:pPr>
          </w:p>
          <w:p w14:paraId="0C383F0A" w14:textId="77777777" w:rsidR="003B0DFE" w:rsidRPr="003B0DFE" w:rsidRDefault="003B0DFE" w:rsidP="006479DF">
            <w:pPr>
              <w:rPr>
                <w:b/>
                <w:sz w:val="16"/>
                <w:szCs w:val="20"/>
              </w:rPr>
            </w:pPr>
          </w:p>
          <w:p w14:paraId="64D71D26" w14:textId="77777777" w:rsidR="003B0DFE" w:rsidRPr="0084743A" w:rsidRDefault="003B0DFE" w:rsidP="006479DF">
            <w:pPr>
              <w:rPr>
                <w:b/>
                <w:sz w:val="26"/>
                <w:szCs w:val="26"/>
              </w:rPr>
            </w:pPr>
          </w:p>
        </w:tc>
        <w:tc>
          <w:tcPr>
            <w:tcW w:w="6696" w:type="dxa"/>
            <w:shd w:val="clear" w:color="auto" w:fill="FBD4B4" w:themeFill="accent6" w:themeFillTint="66"/>
          </w:tcPr>
          <w:p w14:paraId="2B8635B0" w14:textId="77777777" w:rsidR="009836CF" w:rsidRDefault="0084743A" w:rsidP="006A5157">
            <w:pPr>
              <w:jc w:val="both"/>
              <w:rPr>
                <w:szCs w:val="20"/>
              </w:rPr>
            </w:pPr>
            <w:r>
              <w:rPr>
                <w:szCs w:val="20"/>
              </w:rPr>
              <w:t>Centrálny koordinačný orgán</w:t>
            </w:r>
          </w:p>
          <w:p w14:paraId="56C67694" w14:textId="77777777" w:rsidR="00B53B4A" w:rsidRPr="009836CF" w:rsidRDefault="00C9618D" w:rsidP="00942655">
            <w:pPr>
              <w:jc w:val="both"/>
              <w:rPr>
                <w:szCs w:val="20"/>
              </w:rPr>
            </w:pPr>
            <w:r w:rsidRPr="00113AA3">
              <w:t xml:space="preserve">Úrad </w:t>
            </w:r>
            <w:r>
              <w:t>podpredsedu vlády SR pre investície a informatizáciu</w:t>
            </w:r>
            <w:r>
              <w:rPr>
                <w:szCs w:val="20"/>
              </w:rPr>
              <w:t xml:space="preserve"> </w:t>
            </w:r>
            <w:r w:rsidR="00B53B4A">
              <w:rPr>
                <w:szCs w:val="20"/>
              </w:rPr>
              <w:t xml:space="preserve">v súlade s kapitolou 1.2, ods. 3, písm. </w:t>
            </w:r>
            <w:r w:rsidR="00942655">
              <w:rPr>
                <w:szCs w:val="20"/>
              </w:rPr>
              <w:t>c</w:t>
            </w:r>
            <w:r w:rsidR="00B53B4A">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6E831343" w14:textId="77777777" w:rsidTr="003437EB">
        <w:tc>
          <w:tcPr>
            <w:tcW w:w="2268" w:type="dxa"/>
            <w:shd w:val="clear" w:color="auto" w:fill="FBD4B4" w:themeFill="accent6" w:themeFillTint="66"/>
          </w:tcPr>
          <w:p w14:paraId="5E61B43E" w14:textId="77777777" w:rsidR="009836CF" w:rsidRPr="0084743A" w:rsidRDefault="00116F61" w:rsidP="006479DF">
            <w:pPr>
              <w:rPr>
                <w:b/>
                <w:sz w:val="26"/>
                <w:szCs w:val="26"/>
              </w:rPr>
            </w:pPr>
            <w:r w:rsidRPr="0084743A">
              <w:rPr>
                <w:b/>
                <w:sz w:val="26"/>
                <w:szCs w:val="26"/>
              </w:rPr>
              <w:t>Záväznosť:</w:t>
            </w:r>
          </w:p>
          <w:p w14:paraId="654C8E21" w14:textId="77777777" w:rsidR="0084743A" w:rsidRDefault="0084743A" w:rsidP="006479DF">
            <w:pPr>
              <w:rPr>
                <w:b/>
                <w:sz w:val="16"/>
                <w:szCs w:val="16"/>
              </w:rPr>
            </w:pPr>
          </w:p>
          <w:p w14:paraId="1929207A" w14:textId="29ECCC47" w:rsidR="003B0DFE" w:rsidRDefault="003B0DFE" w:rsidP="006479DF">
            <w:pPr>
              <w:rPr>
                <w:b/>
                <w:sz w:val="16"/>
                <w:szCs w:val="16"/>
              </w:rPr>
            </w:pPr>
          </w:p>
          <w:p w14:paraId="59CFAD07" w14:textId="77777777" w:rsidR="003B0DFE" w:rsidRDefault="003B0DFE" w:rsidP="006479DF">
            <w:pPr>
              <w:rPr>
                <w:b/>
                <w:sz w:val="16"/>
                <w:szCs w:val="16"/>
              </w:rPr>
            </w:pPr>
          </w:p>
          <w:p w14:paraId="0F2DD50A" w14:textId="77777777" w:rsidR="003B0DFE" w:rsidRPr="003B0DFE" w:rsidRDefault="003B0DFE" w:rsidP="006479DF">
            <w:pPr>
              <w:rPr>
                <w:b/>
                <w:sz w:val="16"/>
                <w:szCs w:val="16"/>
              </w:rPr>
            </w:pPr>
          </w:p>
          <w:p w14:paraId="6C529EE5"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výklad má záväzný charakter v celom svojom rozsahu." w:value="Metodický výklad má záväzný charakter v celom svojom rozsahu."/>
              <w:listItem w:displayText="Metodický výklad má záväzný charakter v celom rozsahu, ak v jeho texte nie je pri konkrétnom ustanovení uvedené inak." w:value="Metodický výklad má záväzný charakter v celom rozsahu, ak v jeho texte nie je pri konkrétnom ustanovení uvedené inak."/>
              <w:listItem w:displayText="Metodický výklad má odporúčací charakter." w:value="Metodický výklad má odporúčací charakter."/>
            </w:dropDownList>
          </w:sdtPr>
          <w:sdtEndPr/>
          <w:sdtContent>
            <w:tc>
              <w:tcPr>
                <w:tcW w:w="6696" w:type="dxa"/>
                <w:shd w:val="clear" w:color="auto" w:fill="FBD4B4" w:themeFill="accent6" w:themeFillTint="66"/>
              </w:tcPr>
              <w:p w14:paraId="38A6B539" w14:textId="30FC661C" w:rsidR="009836CF" w:rsidRPr="009836CF" w:rsidRDefault="005A7F0C" w:rsidP="006A5157">
                <w:pPr>
                  <w:jc w:val="both"/>
                  <w:rPr>
                    <w:szCs w:val="20"/>
                  </w:rPr>
                </w:pPr>
                <w:r>
                  <w:rPr>
                    <w:szCs w:val="20"/>
                  </w:rPr>
                  <w:t>Metodický výklad má záväzný charakter v celom svojom rozsahu.</w:t>
                </w:r>
              </w:p>
            </w:tc>
          </w:sdtContent>
        </w:sdt>
      </w:tr>
      <w:tr w:rsidR="009836CF" w:rsidRPr="009836CF" w14:paraId="12A162DA" w14:textId="77777777" w:rsidTr="003437EB">
        <w:tc>
          <w:tcPr>
            <w:tcW w:w="2268" w:type="dxa"/>
            <w:shd w:val="clear" w:color="auto" w:fill="FBD4B4" w:themeFill="accent6" w:themeFillTint="66"/>
          </w:tcPr>
          <w:p w14:paraId="3586DD16" w14:textId="77777777" w:rsidR="009836CF" w:rsidRPr="00080992" w:rsidRDefault="009836CF" w:rsidP="006479DF">
            <w:pPr>
              <w:rPr>
                <w:sz w:val="26"/>
                <w:szCs w:val="26"/>
              </w:rPr>
            </w:pPr>
            <w:r w:rsidRPr="00080992">
              <w:rPr>
                <w:sz w:val="26"/>
                <w:szCs w:val="26"/>
              </w:rPr>
              <w:t>Počet príloh:</w:t>
            </w:r>
          </w:p>
          <w:p w14:paraId="11DC76A0" w14:textId="77777777" w:rsidR="006A5157" w:rsidRPr="00080992" w:rsidRDefault="006A5157" w:rsidP="006479DF"/>
          <w:p w14:paraId="51BFA59A" w14:textId="77777777" w:rsidR="003B0DFE" w:rsidRPr="00080992" w:rsidRDefault="003B0DFE" w:rsidP="006479DF"/>
        </w:tc>
        <w:tc>
          <w:tcPr>
            <w:tcW w:w="6696" w:type="dxa"/>
            <w:shd w:val="clear" w:color="auto" w:fill="FBD4B4" w:themeFill="accent6" w:themeFillTint="66"/>
          </w:tcPr>
          <w:p w14:paraId="4040D7BE" w14:textId="695A1445" w:rsidR="009836CF" w:rsidRPr="00080992" w:rsidRDefault="00F94312" w:rsidP="006A5157">
            <w:pPr>
              <w:jc w:val="both"/>
              <w:rPr>
                <w:rStyle w:val="Zstupntext"/>
                <w:rFonts w:eastAsiaTheme="minorHAnsi"/>
                <w:color w:val="auto"/>
              </w:rPr>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5A7F0C" w:rsidRPr="00080992">
                  <w:t>1</w:t>
                </w:r>
              </w:sdtContent>
            </w:sdt>
          </w:p>
        </w:tc>
      </w:tr>
      <w:tr w:rsidR="009836CF" w:rsidRPr="009836CF" w14:paraId="5FFA8B5B" w14:textId="77777777" w:rsidTr="003437EB">
        <w:tc>
          <w:tcPr>
            <w:tcW w:w="2268" w:type="dxa"/>
            <w:shd w:val="clear" w:color="auto" w:fill="FBD4B4" w:themeFill="accent6" w:themeFillTint="66"/>
          </w:tcPr>
          <w:p w14:paraId="5459FBF8" w14:textId="77777777" w:rsidR="009836CF" w:rsidRPr="00080992" w:rsidRDefault="009836CF" w:rsidP="006479DF">
            <w:pPr>
              <w:rPr>
                <w:sz w:val="26"/>
                <w:szCs w:val="26"/>
              </w:rPr>
            </w:pPr>
            <w:r w:rsidRPr="00080992">
              <w:rPr>
                <w:sz w:val="26"/>
                <w:szCs w:val="26"/>
              </w:rPr>
              <w:t>Dátum vydania:</w:t>
            </w:r>
          </w:p>
          <w:p w14:paraId="1B242A78" w14:textId="77777777" w:rsidR="006A5157" w:rsidRPr="00080992" w:rsidRDefault="006A5157" w:rsidP="006479DF">
            <w:pPr>
              <w:rPr>
                <w:sz w:val="26"/>
                <w:szCs w:val="26"/>
              </w:rPr>
            </w:pPr>
          </w:p>
          <w:p w14:paraId="557DFB1C" w14:textId="77777777" w:rsidR="003B0DFE" w:rsidRPr="00080992" w:rsidRDefault="003B0DFE" w:rsidP="006479DF">
            <w:pPr>
              <w:rPr>
                <w:sz w:val="26"/>
                <w:szCs w:val="26"/>
              </w:rPr>
            </w:pPr>
          </w:p>
        </w:tc>
        <w:sdt>
          <w:sdtPr>
            <w:rPr>
              <w:szCs w:val="20"/>
            </w:rPr>
            <w:id w:val="88820667"/>
            <w:placeholder>
              <w:docPart w:val="8195A2A97F4C40F3AEA4E7733BA42A29"/>
            </w:placeholder>
            <w:date w:fullDate="2018-10-09T00:00:00Z">
              <w:dateFormat w:val="dd.MM.yyyy"/>
              <w:lid w:val="sk-SK"/>
              <w:storeMappedDataAs w:val="dateTime"/>
              <w:calendar w:val="gregorian"/>
            </w:date>
          </w:sdtPr>
          <w:sdtContent>
            <w:tc>
              <w:tcPr>
                <w:tcW w:w="6696" w:type="dxa"/>
                <w:shd w:val="clear" w:color="auto" w:fill="FBD4B4" w:themeFill="accent6" w:themeFillTint="66"/>
              </w:tcPr>
              <w:p w14:paraId="5D173FE1" w14:textId="0E56DE2A" w:rsidR="009836CF" w:rsidRPr="00080992" w:rsidRDefault="00080992" w:rsidP="00080992">
                <w:pPr>
                  <w:jc w:val="both"/>
                  <w:rPr>
                    <w:szCs w:val="20"/>
                  </w:rPr>
                </w:pPr>
                <w:r>
                  <w:rPr>
                    <w:szCs w:val="20"/>
                  </w:rPr>
                  <w:t>09.10.2018</w:t>
                </w:r>
              </w:p>
            </w:tc>
          </w:sdtContent>
        </w:sdt>
      </w:tr>
      <w:tr w:rsidR="009836CF" w:rsidRPr="009836CF" w14:paraId="6FDE0593" w14:textId="77777777" w:rsidTr="003437EB">
        <w:tc>
          <w:tcPr>
            <w:tcW w:w="2268" w:type="dxa"/>
            <w:shd w:val="clear" w:color="auto" w:fill="FBD4B4" w:themeFill="accent6" w:themeFillTint="66"/>
          </w:tcPr>
          <w:p w14:paraId="29C0FC20" w14:textId="77777777" w:rsidR="009836CF" w:rsidRPr="00080992" w:rsidRDefault="009836CF" w:rsidP="006479DF">
            <w:pPr>
              <w:rPr>
                <w:sz w:val="26"/>
                <w:szCs w:val="26"/>
              </w:rPr>
            </w:pPr>
            <w:r w:rsidRPr="00080992">
              <w:rPr>
                <w:sz w:val="26"/>
                <w:szCs w:val="26"/>
              </w:rPr>
              <w:t>Dátum účinnosti:</w:t>
            </w:r>
          </w:p>
          <w:p w14:paraId="6B9517D6" w14:textId="77777777" w:rsidR="006A5157" w:rsidRPr="00080992" w:rsidRDefault="006A5157" w:rsidP="006479DF">
            <w:pPr>
              <w:rPr>
                <w:sz w:val="26"/>
                <w:szCs w:val="26"/>
              </w:rPr>
            </w:pPr>
          </w:p>
          <w:p w14:paraId="51C06022" w14:textId="77777777" w:rsidR="003B0DFE" w:rsidRPr="00080992" w:rsidRDefault="003B0DFE" w:rsidP="006479DF">
            <w:pPr>
              <w:rPr>
                <w:sz w:val="26"/>
                <w:szCs w:val="26"/>
              </w:rPr>
            </w:pPr>
          </w:p>
        </w:tc>
        <w:sdt>
          <w:sdtPr>
            <w:rPr>
              <w:szCs w:val="20"/>
            </w:rPr>
            <w:id w:val="1355075011"/>
            <w:placeholder>
              <w:docPart w:val="A9494BB6FAA9466EB8CF5BEC6F31AD85"/>
            </w:placeholder>
            <w:date w:fullDate="2018-10-09T00:00:00Z">
              <w:dateFormat w:val="dd.MM.yyyy"/>
              <w:lid w:val="sk-SK"/>
              <w:storeMappedDataAs w:val="dateTime"/>
              <w:calendar w:val="gregorian"/>
            </w:date>
          </w:sdtPr>
          <w:sdtContent>
            <w:tc>
              <w:tcPr>
                <w:tcW w:w="6696" w:type="dxa"/>
                <w:shd w:val="clear" w:color="auto" w:fill="FBD4B4" w:themeFill="accent6" w:themeFillTint="66"/>
              </w:tcPr>
              <w:p w14:paraId="5C34C7B3" w14:textId="248F301C" w:rsidR="009836CF" w:rsidRPr="00080992" w:rsidRDefault="00080992" w:rsidP="006A5157">
                <w:pPr>
                  <w:jc w:val="both"/>
                  <w:rPr>
                    <w:szCs w:val="20"/>
                  </w:rPr>
                </w:pPr>
                <w:r>
                  <w:rPr>
                    <w:szCs w:val="20"/>
                  </w:rPr>
                  <w:t>09.10.2018</w:t>
                </w:r>
              </w:p>
            </w:tc>
          </w:sdtContent>
        </w:sdt>
      </w:tr>
      <w:tr w:rsidR="009836CF" w:rsidRPr="009836CF" w14:paraId="29465B5C" w14:textId="77777777" w:rsidTr="003437EB">
        <w:tc>
          <w:tcPr>
            <w:tcW w:w="2268" w:type="dxa"/>
            <w:shd w:val="clear" w:color="auto" w:fill="FBD4B4" w:themeFill="accent6" w:themeFillTint="66"/>
          </w:tcPr>
          <w:p w14:paraId="3388D9A8" w14:textId="77777777" w:rsidR="009836CF" w:rsidRPr="0084743A" w:rsidRDefault="009836CF" w:rsidP="006479DF">
            <w:pPr>
              <w:rPr>
                <w:b/>
                <w:sz w:val="26"/>
                <w:szCs w:val="26"/>
              </w:rPr>
            </w:pPr>
            <w:r w:rsidRPr="0084743A">
              <w:rPr>
                <w:b/>
                <w:sz w:val="26"/>
                <w:szCs w:val="26"/>
              </w:rPr>
              <w:t>Schválil:</w:t>
            </w:r>
          </w:p>
        </w:tc>
        <w:tc>
          <w:tcPr>
            <w:tcW w:w="6696" w:type="dxa"/>
            <w:shd w:val="clear" w:color="auto" w:fill="FBD4B4" w:themeFill="accent6" w:themeFillTint="66"/>
          </w:tcPr>
          <w:p w14:paraId="2412C23F" w14:textId="77777777" w:rsidR="00C9618D" w:rsidRPr="00C9618D" w:rsidRDefault="00BC14B8" w:rsidP="00C9618D">
            <w:pPr>
              <w:jc w:val="both"/>
            </w:pPr>
            <w:r>
              <w:t>JUDr. Denisa Žiláková</w:t>
            </w:r>
          </w:p>
          <w:p w14:paraId="7EB2B7E9" w14:textId="77777777" w:rsidR="00C214B6" w:rsidRPr="009836CF" w:rsidRDefault="00BC14B8" w:rsidP="00DD4310">
            <w:pPr>
              <w:jc w:val="both"/>
              <w:rPr>
                <w:szCs w:val="20"/>
              </w:rPr>
            </w:pPr>
            <w:r>
              <w:t>generálna riaditeľka sekcie centrálny koordinačný orgán</w:t>
            </w:r>
          </w:p>
        </w:tc>
      </w:tr>
    </w:tbl>
    <w:p w14:paraId="0B2B99B0" w14:textId="77777777" w:rsidR="00D61BB6" w:rsidRDefault="00D61BB6" w:rsidP="006479DF">
      <w:pPr>
        <w:rPr>
          <w:sz w:val="20"/>
          <w:szCs w:val="20"/>
        </w:rPr>
      </w:pPr>
    </w:p>
    <w:bookmarkStart w:id="0" w:name="_Toc404872120" w:displacedByCustomXml="next"/>
    <w:bookmarkStart w:id="1"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22B3B06F" w14:textId="77777777" w:rsidR="00460F75" w:rsidRDefault="00460F75">
          <w:pPr>
            <w:pStyle w:val="Hlavikaobsahu"/>
          </w:pPr>
          <w:r>
            <w:t>Obsah</w:t>
          </w:r>
        </w:p>
        <w:p w14:paraId="62844E57" w14:textId="77777777" w:rsidR="00460F75" w:rsidRPr="00460F75" w:rsidRDefault="00460F75" w:rsidP="00460F75"/>
        <w:p w14:paraId="077EFC1C" w14:textId="1789E2F1" w:rsidR="006C3BF1" w:rsidRDefault="00460F75" w:rsidP="006C3BF1">
          <w:pPr>
            <w:pStyle w:val="Obsah2"/>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526861517" w:history="1">
            <w:r w:rsidR="006C3BF1" w:rsidRPr="000C6F40">
              <w:rPr>
                <w:rStyle w:val="Hypertextovprepojenie"/>
                <w:noProof/>
              </w:rPr>
              <w:t>1 Úvod</w:t>
            </w:r>
            <w:r w:rsidR="006C3BF1">
              <w:rPr>
                <w:noProof/>
                <w:webHidden/>
              </w:rPr>
              <w:tab/>
            </w:r>
            <w:r w:rsidR="006C3BF1">
              <w:rPr>
                <w:noProof/>
                <w:webHidden/>
              </w:rPr>
              <w:fldChar w:fldCharType="begin"/>
            </w:r>
            <w:r w:rsidR="006C3BF1">
              <w:rPr>
                <w:noProof/>
                <w:webHidden/>
              </w:rPr>
              <w:instrText xml:space="preserve"> PAGEREF _Toc526861517 \h </w:instrText>
            </w:r>
            <w:r w:rsidR="006C3BF1">
              <w:rPr>
                <w:noProof/>
                <w:webHidden/>
              </w:rPr>
            </w:r>
            <w:r w:rsidR="006C3BF1">
              <w:rPr>
                <w:noProof/>
                <w:webHidden/>
              </w:rPr>
              <w:fldChar w:fldCharType="separate"/>
            </w:r>
            <w:r w:rsidR="006C3BF1">
              <w:rPr>
                <w:noProof/>
                <w:webHidden/>
              </w:rPr>
              <w:t>1</w:t>
            </w:r>
            <w:r w:rsidR="006C3BF1">
              <w:rPr>
                <w:noProof/>
                <w:webHidden/>
              </w:rPr>
              <w:fldChar w:fldCharType="end"/>
            </w:r>
          </w:hyperlink>
        </w:p>
        <w:p w14:paraId="2D9A62E3" w14:textId="025D7F9B" w:rsidR="006C3BF1" w:rsidRDefault="00F94312" w:rsidP="006C3BF1">
          <w:pPr>
            <w:pStyle w:val="Obsah2"/>
            <w:rPr>
              <w:rFonts w:asciiTheme="minorHAnsi" w:eastAsiaTheme="minorEastAsia" w:hAnsiTheme="minorHAnsi" w:cstheme="minorBidi"/>
              <w:noProof/>
              <w:sz w:val="22"/>
              <w:szCs w:val="22"/>
            </w:rPr>
          </w:pPr>
          <w:hyperlink w:anchor="_Toc526861518" w:history="1">
            <w:r w:rsidR="006C3BF1" w:rsidRPr="000C6F40">
              <w:rPr>
                <w:rStyle w:val="Hypertextovprepojenie"/>
                <w:noProof/>
              </w:rPr>
              <w:t>2 Pravidlá obstarávania a kontroly zákaziek zadávaných osobou, ktorej poskytne verejný obstarávateľ 50%  a menej finančných prostriedkov na dodanie tovaru, uskutočnenie stavebných prác a poskytnutie služieb  z NFP:</w:t>
            </w:r>
            <w:r w:rsidR="006C3BF1">
              <w:rPr>
                <w:noProof/>
                <w:webHidden/>
              </w:rPr>
              <w:tab/>
            </w:r>
            <w:r w:rsidR="006C3BF1">
              <w:rPr>
                <w:noProof/>
                <w:webHidden/>
              </w:rPr>
              <w:fldChar w:fldCharType="begin"/>
            </w:r>
            <w:r w:rsidR="006C3BF1">
              <w:rPr>
                <w:noProof/>
                <w:webHidden/>
              </w:rPr>
              <w:instrText xml:space="preserve"> PAGEREF _Toc526861518 \h </w:instrText>
            </w:r>
            <w:r w:rsidR="006C3BF1">
              <w:rPr>
                <w:noProof/>
                <w:webHidden/>
              </w:rPr>
            </w:r>
            <w:r w:rsidR="006C3BF1">
              <w:rPr>
                <w:noProof/>
                <w:webHidden/>
              </w:rPr>
              <w:fldChar w:fldCharType="separate"/>
            </w:r>
            <w:r w:rsidR="006C3BF1">
              <w:rPr>
                <w:noProof/>
                <w:webHidden/>
              </w:rPr>
              <w:t>3</w:t>
            </w:r>
            <w:r w:rsidR="006C3BF1">
              <w:rPr>
                <w:noProof/>
                <w:webHidden/>
              </w:rPr>
              <w:fldChar w:fldCharType="end"/>
            </w:r>
          </w:hyperlink>
        </w:p>
        <w:p w14:paraId="16D07875" w14:textId="0B1C659A" w:rsidR="006C3BF1" w:rsidRDefault="00F94312">
          <w:pPr>
            <w:pStyle w:val="Obsah3"/>
            <w:tabs>
              <w:tab w:val="right" w:leader="dot" w:pos="9062"/>
            </w:tabs>
            <w:rPr>
              <w:rFonts w:asciiTheme="minorHAnsi" w:eastAsiaTheme="minorEastAsia" w:hAnsiTheme="minorHAnsi" w:cstheme="minorBidi"/>
              <w:noProof/>
              <w:sz w:val="22"/>
              <w:szCs w:val="22"/>
            </w:rPr>
          </w:pPr>
          <w:hyperlink w:anchor="_Toc526861519" w:history="1">
            <w:r w:rsidR="006C3BF1" w:rsidRPr="000C6F40">
              <w:rPr>
                <w:rStyle w:val="Hypertextovprepojenie"/>
                <w:noProof/>
              </w:rPr>
              <w:t>1.1 Zákazky nad 100 000 eur</w:t>
            </w:r>
            <w:r w:rsidR="006C3BF1">
              <w:rPr>
                <w:noProof/>
                <w:webHidden/>
              </w:rPr>
              <w:tab/>
            </w:r>
            <w:r w:rsidR="006C3BF1">
              <w:rPr>
                <w:noProof/>
                <w:webHidden/>
              </w:rPr>
              <w:fldChar w:fldCharType="begin"/>
            </w:r>
            <w:r w:rsidR="006C3BF1">
              <w:rPr>
                <w:noProof/>
                <w:webHidden/>
              </w:rPr>
              <w:instrText xml:space="preserve"> PAGEREF _Toc526861519 \h </w:instrText>
            </w:r>
            <w:r w:rsidR="006C3BF1">
              <w:rPr>
                <w:noProof/>
                <w:webHidden/>
              </w:rPr>
            </w:r>
            <w:r w:rsidR="006C3BF1">
              <w:rPr>
                <w:noProof/>
                <w:webHidden/>
              </w:rPr>
              <w:fldChar w:fldCharType="separate"/>
            </w:r>
            <w:r w:rsidR="006C3BF1">
              <w:rPr>
                <w:noProof/>
                <w:webHidden/>
              </w:rPr>
              <w:t>6</w:t>
            </w:r>
            <w:r w:rsidR="006C3BF1">
              <w:rPr>
                <w:noProof/>
                <w:webHidden/>
              </w:rPr>
              <w:fldChar w:fldCharType="end"/>
            </w:r>
          </w:hyperlink>
        </w:p>
        <w:p w14:paraId="56A9D9C0" w14:textId="45A0E73D" w:rsidR="006C3BF1" w:rsidRDefault="00F94312">
          <w:pPr>
            <w:pStyle w:val="Obsah3"/>
            <w:tabs>
              <w:tab w:val="left" w:pos="1100"/>
              <w:tab w:val="right" w:leader="dot" w:pos="9062"/>
            </w:tabs>
            <w:rPr>
              <w:rFonts w:asciiTheme="minorHAnsi" w:eastAsiaTheme="minorEastAsia" w:hAnsiTheme="minorHAnsi" w:cstheme="minorBidi"/>
              <w:noProof/>
              <w:sz w:val="22"/>
              <w:szCs w:val="22"/>
            </w:rPr>
          </w:pPr>
          <w:hyperlink w:anchor="_Toc526861520" w:history="1">
            <w:r w:rsidR="006C3BF1" w:rsidRPr="000C6F40">
              <w:rPr>
                <w:rStyle w:val="Hypertextovprepojenie"/>
                <w:noProof/>
              </w:rPr>
              <w:t>1.2</w:t>
            </w:r>
            <w:r w:rsidR="006C3BF1">
              <w:rPr>
                <w:rFonts w:asciiTheme="minorHAnsi" w:eastAsiaTheme="minorEastAsia" w:hAnsiTheme="minorHAnsi" w:cstheme="minorBidi"/>
                <w:noProof/>
                <w:sz w:val="22"/>
                <w:szCs w:val="22"/>
              </w:rPr>
              <w:tab/>
            </w:r>
            <w:r w:rsidR="006C3BF1" w:rsidRPr="000C6F40">
              <w:rPr>
                <w:rStyle w:val="Hypertextovprepojenie"/>
                <w:noProof/>
              </w:rPr>
              <w:t>Zákazky do 100 000 eur</w:t>
            </w:r>
            <w:r w:rsidR="006C3BF1">
              <w:rPr>
                <w:noProof/>
                <w:webHidden/>
              </w:rPr>
              <w:tab/>
            </w:r>
            <w:r w:rsidR="006C3BF1">
              <w:rPr>
                <w:noProof/>
                <w:webHidden/>
              </w:rPr>
              <w:fldChar w:fldCharType="begin"/>
            </w:r>
            <w:r w:rsidR="006C3BF1">
              <w:rPr>
                <w:noProof/>
                <w:webHidden/>
              </w:rPr>
              <w:instrText xml:space="preserve"> PAGEREF _Toc526861520 \h </w:instrText>
            </w:r>
            <w:r w:rsidR="006C3BF1">
              <w:rPr>
                <w:noProof/>
                <w:webHidden/>
              </w:rPr>
            </w:r>
            <w:r w:rsidR="006C3BF1">
              <w:rPr>
                <w:noProof/>
                <w:webHidden/>
              </w:rPr>
              <w:fldChar w:fldCharType="separate"/>
            </w:r>
            <w:r w:rsidR="006C3BF1">
              <w:rPr>
                <w:noProof/>
                <w:webHidden/>
              </w:rPr>
              <w:t>8</w:t>
            </w:r>
            <w:r w:rsidR="006C3BF1">
              <w:rPr>
                <w:noProof/>
                <w:webHidden/>
              </w:rPr>
              <w:fldChar w:fldCharType="end"/>
            </w:r>
          </w:hyperlink>
        </w:p>
        <w:p w14:paraId="4D136BE6" w14:textId="6FB099B9" w:rsidR="006C3BF1" w:rsidRDefault="00F94312" w:rsidP="006C3BF1">
          <w:pPr>
            <w:pStyle w:val="Obsah2"/>
            <w:rPr>
              <w:rFonts w:asciiTheme="minorHAnsi" w:eastAsiaTheme="minorEastAsia" w:hAnsiTheme="minorHAnsi" w:cstheme="minorBidi"/>
              <w:noProof/>
              <w:sz w:val="22"/>
              <w:szCs w:val="22"/>
            </w:rPr>
          </w:pPr>
          <w:hyperlink w:anchor="_Toc526861521" w:history="1">
            <w:r w:rsidR="006C3BF1" w:rsidRPr="000C6F40">
              <w:rPr>
                <w:rStyle w:val="Hypertextovprepojenie"/>
                <w:noProof/>
              </w:rPr>
              <w:t>3 Prílohy</w:t>
            </w:r>
            <w:r w:rsidR="006C3BF1">
              <w:rPr>
                <w:noProof/>
                <w:webHidden/>
              </w:rPr>
              <w:tab/>
            </w:r>
            <w:r w:rsidR="006C3BF1">
              <w:rPr>
                <w:noProof/>
                <w:webHidden/>
              </w:rPr>
              <w:fldChar w:fldCharType="begin"/>
            </w:r>
            <w:r w:rsidR="006C3BF1">
              <w:rPr>
                <w:noProof/>
                <w:webHidden/>
              </w:rPr>
              <w:instrText xml:space="preserve"> PAGEREF _Toc526861521 \h </w:instrText>
            </w:r>
            <w:r w:rsidR="006C3BF1">
              <w:rPr>
                <w:noProof/>
                <w:webHidden/>
              </w:rPr>
            </w:r>
            <w:r w:rsidR="006C3BF1">
              <w:rPr>
                <w:noProof/>
                <w:webHidden/>
              </w:rPr>
              <w:fldChar w:fldCharType="separate"/>
            </w:r>
            <w:r w:rsidR="006C3BF1">
              <w:rPr>
                <w:noProof/>
                <w:webHidden/>
              </w:rPr>
              <w:t>10</w:t>
            </w:r>
            <w:r w:rsidR="006C3BF1">
              <w:rPr>
                <w:noProof/>
                <w:webHidden/>
              </w:rPr>
              <w:fldChar w:fldCharType="end"/>
            </w:r>
          </w:hyperlink>
        </w:p>
        <w:p w14:paraId="68CF2B87" w14:textId="6428ACED" w:rsidR="00460F75" w:rsidRDefault="00460F75">
          <w:r>
            <w:fldChar w:fldCharType="end"/>
          </w:r>
        </w:p>
      </w:sdtContent>
    </w:sdt>
    <w:p w14:paraId="6EC5D72C" w14:textId="77777777" w:rsidR="007A0A10" w:rsidRPr="007A0A10" w:rsidRDefault="00850467" w:rsidP="00850467">
      <w:pPr>
        <w:pStyle w:val="MPCKO1"/>
      </w:pPr>
      <w:bookmarkStart w:id="2" w:name="_Toc526861517"/>
      <w:r>
        <w:t>1 Úvod</w:t>
      </w:r>
      <w:bookmarkEnd w:id="1"/>
      <w:bookmarkEnd w:id="0"/>
      <w:bookmarkEnd w:id="2"/>
    </w:p>
    <w:p w14:paraId="36DC99DD" w14:textId="77777777" w:rsidR="00D12485" w:rsidRDefault="00D12485" w:rsidP="006C3BF1">
      <w:pPr>
        <w:pStyle w:val="Odsekzoznamu"/>
        <w:numPr>
          <w:ilvl w:val="0"/>
          <w:numId w:val="23"/>
        </w:numPr>
        <w:spacing w:before="120" w:after="120"/>
        <w:ind w:left="425" w:hanging="425"/>
        <w:contextualSpacing w:val="0"/>
        <w:jc w:val="both"/>
      </w:pPr>
      <w:bookmarkStart w:id="3" w:name="_Toc404872046"/>
      <w:bookmarkStart w:id="4" w:name="_Toc404872121"/>
      <w:r>
        <w:t>Na základe zákona č. 269/2018 Z. z.</w:t>
      </w:r>
      <w:r w:rsidRPr="00187161">
        <w:t xml:space="preserve"> o zabezpečovaní kvality vysokoškolského vzdelávania a o zmene a doplnení zákona č. 343/2015 Z. z. o verejnom obstarávaní </w:t>
      </w:r>
      <w:r>
        <w:br/>
      </w:r>
      <w:r w:rsidRPr="00187161">
        <w:t>a o zmene a doplnení niektorých zákon</w:t>
      </w:r>
      <w:r>
        <w:t>ov v znení neskorších predpisov</w:t>
      </w:r>
      <w:r w:rsidRPr="00187161">
        <w:t xml:space="preserve">, </w:t>
      </w:r>
      <w:r>
        <w:t>ktorý nadobudol účinnosť dňa 26</w:t>
      </w:r>
      <w:r w:rsidRPr="00187161">
        <w:t>.</w:t>
      </w:r>
      <w:r>
        <w:t>9.</w:t>
      </w:r>
      <w:r w:rsidRPr="00187161">
        <w:t>2018, boli vypustené spod pôsobnosti zákona</w:t>
      </w:r>
      <w:r>
        <w:t xml:space="preserve"> </w:t>
      </w:r>
      <w:r>
        <w:br/>
        <w:t>č. 343/2015 Z. z. (ďalej len „ZVO“)</w:t>
      </w:r>
      <w:r w:rsidRPr="00187161">
        <w:t xml:space="preserve"> tie prípady, ak verejný obstarávateľ poskytne osobe, ktorá nie je verejným obstarávateľom ani obstarávateľom časť finančných</w:t>
      </w:r>
      <w:r w:rsidRPr="009D303F">
        <w:t xml:space="preserve"> prostriedkov predstavujúcich percentuálny podiel rovnaký alebo nižší ako 50 % finančných prostriedkov na dodanie tovaru, uskutočnenie stavebných prác </w:t>
      </w:r>
      <w:r>
        <w:br/>
      </w:r>
      <w:r w:rsidRPr="009D303F">
        <w:t xml:space="preserve">a poskytnutie služieb. Cieľom návrhu na zmenu </w:t>
      </w:r>
      <w:r>
        <w:t>ZVO bolo</w:t>
      </w:r>
      <w:r w:rsidRPr="009D303F">
        <w:t xml:space="preserve"> dosiahnuť súlad pravidiel pre tzv. dotované subjekty, ktorým poskytne verejný obstarávateľ finančné prostriedky, s úpravou podľa smerníc Európskeho parlamentu a Rady o verejnom obstarávaní</w:t>
      </w:r>
      <w:r>
        <w:t xml:space="preserve"> </w:t>
      </w:r>
      <w:r w:rsidRPr="00FD0DEF">
        <w:t>2014/23/EÚ</w:t>
      </w:r>
      <w:r>
        <w:t>, 2014/24</w:t>
      </w:r>
      <w:r w:rsidRPr="00FD0DEF">
        <w:t>/EÚ</w:t>
      </w:r>
      <w:r>
        <w:t xml:space="preserve"> a 2014/25</w:t>
      </w:r>
      <w:r w:rsidRPr="00FD0DEF">
        <w:t>/EÚ</w:t>
      </w:r>
      <w:r w:rsidRPr="009D303F">
        <w:t xml:space="preserve">. </w:t>
      </w:r>
      <w:r w:rsidRPr="009C62EF">
        <w:rPr>
          <w:u w:val="single"/>
        </w:rPr>
        <w:t>Smernice pre oblasť verejného obstarávania vyžadujú od dotovaných subjektov nakupovať v režime verejného obstarávania iba v prípade poskytnutia viac ako 50 % finančných prostriedkov zo strany verejného obstarávateľa, a to iba pre vybrané kategórie stavebných prác a s tým súvisiacich služieb.</w:t>
      </w:r>
      <w:r w:rsidRPr="009D303F">
        <w:t xml:space="preserve"> </w:t>
      </w:r>
      <w:r>
        <w:t xml:space="preserve">Nová úprava je teda plne </w:t>
      </w:r>
      <w:r w:rsidRPr="009D303F">
        <w:t xml:space="preserve">v súlade so smernicami v oblasti verejného obstarávania, ktoré neregulujú pravidlami verejného obstarávania tie prípady, ak dotovaný subjekt financuje z väčšej časti nákup  tovarov, služieb </w:t>
      </w:r>
      <w:r>
        <w:br/>
      </w:r>
      <w:r w:rsidRPr="009D303F">
        <w:t xml:space="preserve">a stavebných prác z vlastných zdrojov. Predmetný návrh </w:t>
      </w:r>
      <w:r>
        <w:t xml:space="preserve">môže </w:t>
      </w:r>
      <w:r w:rsidRPr="009D303F">
        <w:t>zjednoduš</w:t>
      </w:r>
      <w:r>
        <w:t>iť</w:t>
      </w:r>
      <w:r w:rsidRPr="009D303F">
        <w:t xml:space="preserve"> postup zadávania zákaziek tejto kategórii subjektov, odbremení dotované subjekty </w:t>
      </w:r>
      <w:r>
        <w:br/>
      </w:r>
      <w:r w:rsidRPr="009D303F">
        <w:t>od viacerých formálnych povinností spojených s procesom verejného obstarávania,</w:t>
      </w:r>
      <w:r>
        <w:t xml:space="preserve"> </w:t>
      </w:r>
      <w:r>
        <w:br/>
      </w:r>
      <w:r w:rsidRPr="009D303F">
        <w:t>v dôsledku čoho sa výrazne skráti proces obstarávania. Pozitívne dôsledky návrhu na zmenu zákona pocítia najmä prijímatelia príspevku z</w:t>
      </w:r>
      <w:r>
        <w:t xml:space="preserve"> EŠIF </w:t>
      </w:r>
      <w:r w:rsidRPr="009D303F">
        <w:t xml:space="preserve">a uvedená zmena prispeje </w:t>
      </w:r>
      <w:r>
        <w:br/>
      </w:r>
      <w:r w:rsidRPr="009D303F">
        <w:t>k väčšej flexibilite zadávania zákaziek, čo v konečnom dôsledku prispeje k</w:t>
      </w:r>
      <w:r>
        <w:t xml:space="preserve"> zrýchlenia </w:t>
      </w:r>
      <w:r w:rsidRPr="009D303F">
        <w:t>čerpaniu</w:t>
      </w:r>
      <w:r>
        <w:t xml:space="preserve"> prostriedkov z EŠIF</w:t>
      </w:r>
      <w:r w:rsidRPr="009D303F">
        <w:t>. Pr</w:t>
      </w:r>
      <w:r>
        <w:t xml:space="preserve">e oblasť zákaziek financovaných </w:t>
      </w:r>
      <w:r w:rsidRPr="009D303F">
        <w:t>z</w:t>
      </w:r>
      <w:r>
        <w:t xml:space="preserve"> EŠIF </w:t>
      </w:r>
      <w:r w:rsidRPr="009D303F">
        <w:t>však uvedený návrh nie je možné interpretovať ako zníženie transparentnosti, nakoľko zadávanie tohto typu zákaziek bude naďalej spojené</w:t>
      </w:r>
      <w:r>
        <w:t xml:space="preserve"> </w:t>
      </w:r>
      <w:r w:rsidRPr="009D303F">
        <w:t xml:space="preserve">s dodržiavaním </w:t>
      </w:r>
      <w:r>
        <w:t xml:space="preserve">osobitných pravidiel, ktoré zabezpečia </w:t>
      </w:r>
      <w:r w:rsidRPr="009D303F">
        <w:t>transparentnos</w:t>
      </w:r>
      <w:r>
        <w:t>ť</w:t>
      </w:r>
      <w:r w:rsidRPr="009D303F">
        <w:t>, rovnaké zaobchádzani</w:t>
      </w:r>
      <w:r>
        <w:t>e</w:t>
      </w:r>
      <w:r w:rsidRPr="009D303F">
        <w:t>, nediskrimináci</w:t>
      </w:r>
      <w:r>
        <w:t xml:space="preserve">u, proporcionalitu, </w:t>
      </w:r>
      <w:r w:rsidRPr="009D303F">
        <w:t>hospodárnos</w:t>
      </w:r>
      <w:r>
        <w:t>ť a efektívnosť</w:t>
      </w:r>
      <w:r w:rsidRPr="009D303F">
        <w:t xml:space="preserve"> aj v prípade, že sa na zákazku nebude vzťahovať pôsobnosť</w:t>
      </w:r>
      <w:r>
        <w:t xml:space="preserve"> ZVO</w:t>
      </w:r>
      <w:r w:rsidRPr="009D303F">
        <w:t xml:space="preserve">.         </w:t>
      </w:r>
    </w:p>
    <w:p w14:paraId="480775E5" w14:textId="77777777" w:rsidR="00D12485" w:rsidRDefault="00D12485" w:rsidP="006C3BF1">
      <w:pPr>
        <w:pStyle w:val="Odsekzoznamu"/>
        <w:spacing w:before="120" w:after="120"/>
        <w:ind w:left="425" w:hanging="425"/>
        <w:contextualSpacing w:val="0"/>
        <w:jc w:val="both"/>
      </w:pPr>
    </w:p>
    <w:p w14:paraId="6142BE63" w14:textId="77777777" w:rsidR="00D12485" w:rsidRDefault="00D12485" w:rsidP="006C3BF1">
      <w:pPr>
        <w:pStyle w:val="Odsekzoznamu"/>
        <w:numPr>
          <w:ilvl w:val="0"/>
          <w:numId w:val="23"/>
        </w:numPr>
        <w:spacing w:before="120" w:after="120"/>
        <w:ind w:left="425" w:hanging="425"/>
        <w:contextualSpacing w:val="0"/>
        <w:jc w:val="both"/>
      </w:pPr>
      <w:r>
        <w:lastRenderedPageBreak/>
        <w:t xml:space="preserve">Nakoľko ide o zákazku, na ktorú sa pôsobnosť ZVO nevzťahuje, pravidlá pre kontrolu </w:t>
      </w:r>
      <w:r w:rsidRPr="009D303F">
        <w:t>zákaziek zadávaných osobou, ktorej verejný obstarávateľ poskytne 50% a menej finančných prostriedkov z</w:t>
      </w:r>
      <w:r>
        <w:t xml:space="preserve"> NFP, budú súčasťou najbližšej aktualizácie Metodického pokynu CKO č. 12  </w:t>
      </w:r>
      <w:r w:rsidRPr="009D303F">
        <w:t>k zadávaniu zákaziek nespadajúcich pod zákon o verejnom obstarávaní</w:t>
      </w:r>
      <w:r>
        <w:t>.</w:t>
      </w:r>
    </w:p>
    <w:p w14:paraId="778ADE5D" w14:textId="77777777" w:rsidR="00D12485" w:rsidRDefault="00D12485" w:rsidP="006C3BF1">
      <w:pPr>
        <w:pStyle w:val="Odsekzoznamu"/>
        <w:numPr>
          <w:ilvl w:val="0"/>
          <w:numId w:val="23"/>
        </w:numPr>
        <w:spacing w:before="120" w:after="120"/>
        <w:ind w:left="425" w:hanging="425"/>
        <w:contextualSpacing w:val="0"/>
        <w:jc w:val="both"/>
      </w:pPr>
      <w:r>
        <w:t xml:space="preserve">Ak je v texte metodického výkladu uvádzaná terminológia, obdobná alebo rovnaká ako terminológia v ZVO, nie je pre účely kontroly postupu tohto typu zákaziek interpretovaná v kontexte príslušných ustanovení ZVO. </w:t>
      </w:r>
    </w:p>
    <w:p w14:paraId="77E816B4" w14:textId="7D1FF7B0" w:rsidR="00D12485" w:rsidRDefault="00D12485" w:rsidP="006C3BF1">
      <w:pPr>
        <w:pStyle w:val="Odsekzoznamu"/>
        <w:numPr>
          <w:ilvl w:val="0"/>
          <w:numId w:val="23"/>
        </w:numPr>
        <w:spacing w:before="120" w:after="120"/>
        <w:ind w:left="425" w:hanging="425"/>
        <w:contextualSpacing w:val="0"/>
        <w:jc w:val="both"/>
      </w:pPr>
      <w:r>
        <w:t>Metodický výklad k</w:t>
      </w:r>
      <w:r w:rsidRPr="00EA4542">
        <w:t xml:space="preserve"> </w:t>
      </w:r>
      <w:r>
        <w:t xml:space="preserve">zadávaniu zákaziek </w:t>
      </w:r>
      <w:r w:rsidRPr="00EA4542">
        <w:t>osobou, ktorej verejný obstarávateľ poskytne 50% a menej finančných prostriedkov z</w:t>
      </w:r>
      <w:r>
        <w:t xml:space="preserve"> NFP je priamo uplatniteľný pre EŠIF </w:t>
      </w:r>
      <w:r>
        <w:br/>
        <w:t xml:space="preserve">od </w:t>
      </w:r>
      <w:r w:rsidR="005A7F0C">
        <w:t>dátumu jeho účinnosti</w:t>
      </w:r>
      <w:r w:rsidRPr="002D1090">
        <w:t xml:space="preserve">. </w:t>
      </w:r>
      <w:r>
        <w:t xml:space="preserve">RO sú povinné bezodkladne informovať o vydaní metodického výkladu žiadateľov/prijímateľov prostredníctvom svojho webového sídla. </w:t>
      </w:r>
    </w:p>
    <w:p w14:paraId="5066A4C2" w14:textId="77777777" w:rsidR="00D12485" w:rsidRDefault="00D12485" w:rsidP="006C3BF1">
      <w:pPr>
        <w:pStyle w:val="Odsekzoznamu"/>
        <w:numPr>
          <w:ilvl w:val="0"/>
          <w:numId w:val="23"/>
        </w:numPr>
        <w:spacing w:before="120" w:after="120"/>
        <w:ind w:left="425" w:hanging="425"/>
        <w:contextualSpacing w:val="0"/>
        <w:jc w:val="both"/>
      </w:pPr>
      <w:r w:rsidRPr="001B5834">
        <w:t xml:space="preserve">Pokiaľ prijímateľ predloží na RO dokumentáciu z procesu </w:t>
      </w:r>
      <w:r>
        <w:t>zadávania zákazky realizovaného osobou,</w:t>
      </w:r>
      <w:r w:rsidRPr="001B5834">
        <w:t xml:space="preserve"> ktorej verejný obstarávateľ poskytne 50% a menej finančných prostriedkov </w:t>
      </w:r>
      <w:r>
        <w:t xml:space="preserve">na dodanie tovaru, uskutočnenie stavebných prác a poskytnutie služieb </w:t>
      </w:r>
      <w:r w:rsidRPr="001B5834">
        <w:t>z</w:t>
      </w:r>
      <w:r>
        <w:t xml:space="preserve"> NFP, </w:t>
      </w:r>
      <w:r w:rsidRPr="001B5834">
        <w:t>pri ktorej obstarávaní nepostupoval podľa pravidiel uvedených v</w:t>
      </w:r>
      <w:r>
        <w:t xml:space="preserve"> tomto metodickom výklade </w:t>
      </w:r>
      <w:r w:rsidRPr="001B5834">
        <w:t xml:space="preserve">a porušenie týchto pravidiel malo alebo mohlo mať vplyv </w:t>
      </w:r>
      <w:r>
        <w:br/>
      </w:r>
      <w:r w:rsidRPr="001B5834">
        <w:t>na výsledok</w:t>
      </w:r>
      <w:r>
        <w:t xml:space="preserve"> zadávania zákazky</w:t>
      </w:r>
      <w:r w:rsidRPr="001B5834">
        <w:t>, je RO povinný post</w:t>
      </w:r>
      <w:r>
        <w:t xml:space="preserve">upovať analogicky podľa metodického pokynu CKO č. 5. </w:t>
      </w:r>
      <w:r w:rsidRPr="001B5834">
        <w:t xml:space="preserve">Z tohto dôvodu je RO povinný definovať pravidlá vzťahujúce sa na obstarávanie </w:t>
      </w:r>
      <w:r>
        <w:t xml:space="preserve">týchto </w:t>
      </w:r>
      <w:r w:rsidRPr="001B5834">
        <w:t xml:space="preserve">zákaziek </w:t>
      </w:r>
      <w:r>
        <w:t xml:space="preserve">už </w:t>
      </w:r>
      <w:r w:rsidRPr="001B5834">
        <w:t>v rámci jednotlivých výziev.</w:t>
      </w:r>
    </w:p>
    <w:p w14:paraId="7870794A" w14:textId="77777777" w:rsidR="00D12485" w:rsidRDefault="00D12485" w:rsidP="006C3BF1">
      <w:pPr>
        <w:pStyle w:val="Odsekzoznamu"/>
        <w:numPr>
          <w:ilvl w:val="0"/>
          <w:numId w:val="23"/>
        </w:numPr>
        <w:spacing w:before="120" w:after="120"/>
        <w:ind w:left="425" w:hanging="425"/>
        <w:contextualSpacing w:val="0"/>
        <w:jc w:val="both"/>
      </w:pPr>
      <w:r>
        <w:t xml:space="preserve">Ak bola zákazka vyhlásená </w:t>
      </w:r>
      <w:r w:rsidRPr="001B5834">
        <w:t xml:space="preserve">osobou, ktorej verejný obstarávateľ poskytne 50% a menej finančných prostriedkov </w:t>
      </w:r>
      <w:r w:rsidRPr="005918F5">
        <w:t xml:space="preserve">na dodanie tovaru, uskutočnenie stavebných prác </w:t>
      </w:r>
      <w:r>
        <w:br/>
      </w:r>
      <w:r w:rsidRPr="005918F5">
        <w:t xml:space="preserve">a poskytnutie služieb </w:t>
      </w:r>
      <w:r w:rsidRPr="001B5834">
        <w:t>z</w:t>
      </w:r>
      <w:r>
        <w:t xml:space="preserve"> NFP v období od 26.9.2018 do dátumu účinnosti tohto metodického výkladu a bol použitý niektorý z postupov podľa metodického pokynu CKO č. 12, verzia 3, postup prijímateľa posudzuje RO podľa pravidiel uvedených v metodickom pokyne CKO </w:t>
      </w:r>
      <w:r w:rsidRPr="00CE7AEA">
        <w:t>č. 12, verzia 3</w:t>
      </w:r>
      <w:r>
        <w:t xml:space="preserve">. </w:t>
      </w:r>
    </w:p>
    <w:p w14:paraId="664060C6" w14:textId="77777777" w:rsidR="00D12485" w:rsidRDefault="00D12485" w:rsidP="006C3BF1">
      <w:pPr>
        <w:pStyle w:val="Odsekzoznamu"/>
        <w:numPr>
          <w:ilvl w:val="0"/>
          <w:numId w:val="23"/>
        </w:numPr>
        <w:spacing w:before="120" w:after="120"/>
        <w:ind w:left="425" w:hanging="425"/>
        <w:contextualSpacing w:val="0"/>
        <w:jc w:val="both"/>
      </w:pPr>
      <w:r>
        <w:t xml:space="preserve">Ak bola zákazka vyhlásená </w:t>
      </w:r>
      <w:r w:rsidRPr="001B5834">
        <w:t xml:space="preserve">osobou, ktorej verejný obstarávateľ poskytne 50% a menej finančných prostriedkov </w:t>
      </w:r>
      <w:r w:rsidRPr="005918F5">
        <w:t xml:space="preserve">na dodanie tovaru, uskutočnenie stavebných prác </w:t>
      </w:r>
      <w:r>
        <w:br/>
      </w:r>
      <w:r w:rsidRPr="005918F5">
        <w:t xml:space="preserve">a poskytnutie služieb </w:t>
      </w:r>
      <w:r w:rsidRPr="001B5834">
        <w:t>z</w:t>
      </w:r>
      <w:r>
        <w:t xml:space="preserve"> NFP v období od 26.9.2018 do dátumu účinnosti tohto metodického výkladu prostredníctvom EKS, postup prijímateľa posudzuje RO podľa pravidiel uvedených v kapitole </w:t>
      </w:r>
      <w:r w:rsidRPr="00333729">
        <w:t>3.3.7.2.9</w:t>
      </w:r>
      <w:r>
        <w:t xml:space="preserve"> Systému riadenia EŠIF, verzia 6, ktorá upravuje</w:t>
      </w:r>
      <w:r w:rsidRPr="00333729">
        <w:t xml:space="preserve"> </w:t>
      </w:r>
      <w:r>
        <w:t>k</w:t>
      </w:r>
      <w:r w:rsidRPr="00333729">
        <w:t>ontrol</w:t>
      </w:r>
      <w:r>
        <w:t>u</w:t>
      </w:r>
      <w:r w:rsidRPr="00333729">
        <w:t xml:space="preserve"> verejného obstarávania realizovaného cez elektronické trhovisko</w:t>
      </w:r>
      <w:r>
        <w:t>.</w:t>
      </w:r>
    </w:p>
    <w:p w14:paraId="3DED6CE1" w14:textId="77777777" w:rsidR="00D12485" w:rsidRDefault="00D12485" w:rsidP="006C3BF1">
      <w:pPr>
        <w:pStyle w:val="Odsekzoznamu"/>
        <w:numPr>
          <w:ilvl w:val="0"/>
          <w:numId w:val="23"/>
        </w:numPr>
        <w:spacing w:before="120" w:after="120"/>
        <w:ind w:left="425" w:hanging="425"/>
        <w:contextualSpacing w:val="0"/>
        <w:jc w:val="both"/>
      </w:pPr>
      <w:r>
        <w:t xml:space="preserve">Ak bola zákazka vyhlásená </w:t>
      </w:r>
      <w:r w:rsidRPr="001B5834">
        <w:t xml:space="preserve">osobou, ktorej verejný obstarávateľ poskytne 50% a menej finančných prostriedkov </w:t>
      </w:r>
      <w:r w:rsidRPr="005918F5">
        <w:t xml:space="preserve">na dodanie tovaru, uskutočnenie stavebných prác </w:t>
      </w:r>
      <w:r>
        <w:br/>
      </w:r>
      <w:r w:rsidRPr="005918F5">
        <w:t xml:space="preserve">a poskytnutie služieb </w:t>
      </w:r>
      <w:r w:rsidRPr="001B5834">
        <w:t>z</w:t>
      </w:r>
      <w:r>
        <w:t> NFP v období od 26.9.2018 do dátumu účinnosti tohto metodického výkladu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5EE4ED84" w14:textId="77777777" w:rsidR="00D12485" w:rsidRDefault="00D12485" w:rsidP="006C3BF1">
      <w:pPr>
        <w:pStyle w:val="Odsekzoznamu"/>
        <w:numPr>
          <w:ilvl w:val="0"/>
          <w:numId w:val="23"/>
        </w:numPr>
        <w:spacing w:before="120" w:after="120"/>
        <w:ind w:left="425" w:hanging="425"/>
        <w:contextualSpacing w:val="0"/>
        <w:jc w:val="both"/>
      </w:pPr>
      <w:r w:rsidRPr="00142635">
        <w:t xml:space="preserve">Ak bola zákazka vyhlásená osobou, ktorej verejný obstarávateľ poskytne 50% a menej finančných prostriedkov </w:t>
      </w:r>
      <w:r w:rsidRPr="005918F5">
        <w:t xml:space="preserve">na dodanie tovaru, uskutočnenie stavebných prác </w:t>
      </w:r>
      <w:r>
        <w:br/>
      </w:r>
      <w:r w:rsidRPr="005918F5">
        <w:t xml:space="preserve">a poskytnutie služieb </w:t>
      </w:r>
      <w:r w:rsidRPr="00142635">
        <w:t>z NFP v období od 26.9.2018 do dátumu účinnosti tohto metodického výkladu</w:t>
      </w:r>
      <w:r>
        <w:t xml:space="preserve"> postupom zadávania zákazky s nízkou hodnotou, postup prijímateľa posudzuje RO podľa pravidiel uvedených v kapitole 3.3.7.2.5</w:t>
      </w:r>
      <w:bookmarkStart w:id="5" w:name="_GoBack"/>
      <w:bookmarkEnd w:id="5"/>
      <w:r>
        <w:t>.1 a Metodickom pokyne CKO č. 14 (zákazka nad 15 000 eur), resp. v kapitole 3.3.7.2.5.2 (zákazka do 15 000 eur).</w:t>
      </w:r>
    </w:p>
    <w:p w14:paraId="0F78CDE7" w14:textId="77777777" w:rsidR="00850467" w:rsidRPr="007A0A10" w:rsidRDefault="00850467" w:rsidP="00D12485">
      <w:pPr>
        <w:pStyle w:val="MPCKO1"/>
        <w:jc w:val="both"/>
      </w:pPr>
      <w:bookmarkStart w:id="6" w:name="_Toc526861518"/>
      <w:r>
        <w:lastRenderedPageBreak/>
        <w:t xml:space="preserve">2 </w:t>
      </w:r>
      <w:bookmarkEnd w:id="3"/>
      <w:bookmarkEnd w:id="4"/>
      <w:r w:rsidR="00D12485" w:rsidRPr="00D12485">
        <w:t xml:space="preserve">Pravidlá obstarávania a kontroly zákaziek zadávaných osobou, ktorej poskytne verejný obstarávateľ 50% </w:t>
      </w:r>
      <w:r w:rsidR="00D12485">
        <w:br/>
      </w:r>
      <w:r w:rsidR="00D12485" w:rsidRPr="00D12485">
        <w:t xml:space="preserve">a menej finančných prostriedkov na dodanie tovaru, uskutočnenie stavebných prác a poskytnutie služieb </w:t>
      </w:r>
      <w:r w:rsidR="00D12485">
        <w:br/>
      </w:r>
      <w:r w:rsidR="00D12485" w:rsidRPr="00D12485">
        <w:t>z NFP:</w:t>
      </w:r>
      <w:bookmarkEnd w:id="6"/>
    </w:p>
    <w:p w14:paraId="287FCE71" w14:textId="3955E4F4" w:rsidR="00D12485" w:rsidRDefault="00D12485" w:rsidP="006F252F">
      <w:pPr>
        <w:pStyle w:val="Odsekzoznamu"/>
        <w:numPr>
          <w:ilvl w:val="0"/>
          <w:numId w:val="25"/>
        </w:numPr>
        <w:ind w:left="426" w:hanging="426"/>
        <w:jc w:val="both"/>
      </w:pPr>
      <w:bookmarkStart w:id="7" w:name="_Toc404872047"/>
      <w:bookmarkStart w:id="8" w:name="_Toc404872122"/>
      <w:r w:rsidRPr="009D303F">
        <w:rPr>
          <w:u w:val="single"/>
        </w:rPr>
        <w:t>Rozsah pôsobnosti:</w:t>
      </w:r>
      <w:r>
        <w:t xml:space="preserve"> Metodický výklad upravuje pravidlá a postupy obstarávania  </w:t>
      </w:r>
      <w:r>
        <w:br/>
        <w:t xml:space="preserve">pre osoby, ktoré nie sú verejným obstarávateľom, ani obstarávateľom, ale ktorým verejný obstarávateľ </w:t>
      </w:r>
      <w:r w:rsidRPr="009D3727">
        <w:t xml:space="preserve">poskytne časť finančných prostriedkov </w:t>
      </w:r>
      <w:r>
        <w:t xml:space="preserve">z NFP </w:t>
      </w:r>
      <w:r w:rsidRPr="009D3727">
        <w:t>predstavujúcich percentuálny podiel rovnaký alebo nižší ako 50% finančných prostriedkov na dodanie tovaru, uskutočnenie stavebných prác a poskytnutie služieb</w:t>
      </w:r>
      <w:r>
        <w:t>.</w:t>
      </w:r>
      <w:r w:rsidRPr="00AF4873">
        <w:t xml:space="preserve"> Ide o kontrolu postupov pri obstaraní z</w:t>
      </w:r>
      <w:r>
        <w:t>ákazky, na ktorú sa nevzťahuje pôsobnosť ZVO.</w:t>
      </w:r>
    </w:p>
    <w:p w14:paraId="070E06B8" w14:textId="77777777" w:rsidR="00C156FF" w:rsidRDefault="00C156FF" w:rsidP="006F252F">
      <w:pPr>
        <w:numPr>
          <w:ilvl w:val="0"/>
          <w:numId w:val="25"/>
        </w:numPr>
        <w:spacing w:before="120" w:after="120"/>
        <w:ind w:left="426" w:hanging="426"/>
        <w:jc w:val="both"/>
      </w:pPr>
      <w:r>
        <w:t>Zákazky zadávané osobami, ktorým</w:t>
      </w:r>
      <w:r w:rsidRPr="007F7498">
        <w:t xml:space="preserve"> poskytne verejný obstarávateľ 50% a menej finančných prostriedkov </w:t>
      </w:r>
      <w:r w:rsidRPr="005918F5">
        <w:t xml:space="preserve">na dodanie tovaru, uskutočnenie stavebných prác a poskytnutie služieb </w:t>
      </w:r>
      <w:r w:rsidRPr="007F7498">
        <w:t xml:space="preserve">z </w:t>
      </w:r>
      <w:r>
        <w:t>NFP</w:t>
      </w:r>
      <w:r w:rsidRPr="007F7498">
        <w:t xml:space="preserve"> </w:t>
      </w:r>
      <w:r>
        <w:t>sa delia na:</w:t>
      </w:r>
    </w:p>
    <w:p w14:paraId="4024857A" w14:textId="77777777" w:rsidR="00C156FF" w:rsidRDefault="00C156FF" w:rsidP="00C156FF">
      <w:pPr>
        <w:numPr>
          <w:ilvl w:val="0"/>
          <w:numId w:val="24"/>
        </w:numPr>
        <w:spacing w:before="120" w:after="120"/>
        <w:ind w:left="851" w:hanging="425"/>
        <w:jc w:val="both"/>
      </w:pPr>
      <w:r>
        <w:t>zákazky, ktorých hodnota bez DPH sa rovná, alebo presahuje 100 000 eur (ďalej len „zákazky nad 100 000 eur“),</w:t>
      </w:r>
    </w:p>
    <w:p w14:paraId="542181D8" w14:textId="77777777" w:rsidR="00C156FF" w:rsidRDefault="00C156FF" w:rsidP="00C156FF">
      <w:pPr>
        <w:numPr>
          <w:ilvl w:val="0"/>
          <w:numId w:val="24"/>
        </w:numPr>
        <w:spacing w:before="120" w:after="120"/>
        <w:ind w:left="851" w:hanging="425"/>
        <w:jc w:val="both"/>
      </w:pPr>
      <w:r>
        <w:t xml:space="preserve">zákazky, ktorých hodnota bez DPH je nižšia ako 100 000 eur (ďalej len „zákazky </w:t>
      </w:r>
      <w:r>
        <w:br/>
        <w:t>do 100 000 eur“).</w:t>
      </w:r>
    </w:p>
    <w:p w14:paraId="2F3D447A" w14:textId="49EC65D6" w:rsidR="00C156FF" w:rsidRDefault="00C156FF" w:rsidP="006C3BF1">
      <w:pPr>
        <w:pStyle w:val="Odsekzoznamu"/>
        <w:numPr>
          <w:ilvl w:val="0"/>
          <w:numId w:val="25"/>
        </w:numPr>
        <w:spacing w:before="120" w:after="120"/>
        <w:ind w:left="425" w:hanging="425"/>
        <w:contextualSpacing w:val="0"/>
        <w:jc w:val="both"/>
      </w:pPr>
      <w:r>
        <w:t>V</w:t>
      </w:r>
      <w:r w:rsidRPr="00140DA2">
        <w:t xml:space="preserve"> prípade </w:t>
      </w:r>
      <w:r>
        <w:t xml:space="preserve">zákaziek tohto typu </w:t>
      </w:r>
      <w:r w:rsidRPr="00140DA2">
        <w:t>nie je potrebné</w:t>
      </w:r>
      <w:r>
        <w:t xml:space="preserve"> v osobitnom postupe určovať predpokladanú hodnotu zákazky</w:t>
      </w:r>
      <w:r w:rsidRPr="00140DA2">
        <w:t>, ale rozhodujúce je, aby zmluva, ktorá je uzatvorená</w:t>
      </w:r>
      <w:r>
        <w:t xml:space="preserve"> </w:t>
      </w:r>
      <w:r>
        <w:br/>
      </w:r>
      <w:r w:rsidRPr="00140DA2">
        <w:t xml:space="preserve">s úspešným </w:t>
      </w:r>
      <w:r>
        <w:t>dodávateľom</w:t>
      </w:r>
      <w:r w:rsidRPr="00140DA2">
        <w:t>, bola vo finančnom limite, ktorý je spojený s možno</w:t>
      </w:r>
      <w:r>
        <w:t>sťou uplatnenia postupu podľa tohto metodického výkladu</w:t>
      </w:r>
      <w:r w:rsidRPr="00140DA2">
        <w:t>.</w:t>
      </w:r>
    </w:p>
    <w:p w14:paraId="4A1F8F61" w14:textId="77777777" w:rsidR="00D12485" w:rsidRDefault="00D12485" w:rsidP="006C3BF1">
      <w:pPr>
        <w:numPr>
          <w:ilvl w:val="0"/>
          <w:numId w:val="25"/>
        </w:numPr>
        <w:spacing w:before="120" w:after="120"/>
        <w:ind w:left="425" w:hanging="425"/>
        <w:jc w:val="both"/>
      </w:pPr>
      <w:r>
        <w:t xml:space="preserve">Dokumentáciu na kontrolu obstarávania predkladá prijímateľ po podpise zmluvy s úspešným dodávateľom. </w:t>
      </w:r>
      <w:r w:rsidRPr="002B67B4">
        <w:t>RO je oprávnený si v riadiacej dokumentáci</w:t>
      </w:r>
      <w:r>
        <w:t>i</w:t>
      </w:r>
      <w:r w:rsidRPr="002B67B4">
        <w:t xml:space="preserve"> definovať </w:t>
      </w:r>
      <w:r>
        <w:br/>
      </w:r>
      <w:r w:rsidRPr="002B67B4">
        <w:t xml:space="preserve">aj požiadavku na predkladanie takejto dokumentácie </w:t>
      </w:r>
      <w:r>
        <w:t xml:space="preserve">na kontrolu </w:t>
      </w:r>
      <w:r w:rsidRPr="002B67B4">
        <w:t>ešte pred podpisom zmluvy s úspešným dodávateľom na ex-</w:t>
      </w:r>
      <w:proofErr w:type="spellStart"/>
      <w:r w:rsidRPr="002B67B4">
        <w:t>ante</w:t>
      </w:r>
      <w:proofErr w:type="spellEnd"/>
      <w:r w:rsidRPr="002B67B4">
        <w:t xml:space="preserve"> kontrolu</w:t>
      </w:r>
      <w:r>
        <w:t>, ak ide o zákazku nad 100 000 eur.</w:t>
      </w:r>
      <w:r w:rsidRPr="002B67B4">
        <w:t xml:space="preserve"> </w:t>
      </w:r>
      <w:r>
        <w:t>V prípade zákaziek nad 100 000 eur musí byť plnenie založené na písomnom zmluvnom vzťahu. V prípade zákaziek do 100 000 eur nie je povinnosťou uzavrieť písomnú zmluvu, prijímateľ môže predložiť aj objednávku, ktorá v tomto prípade pre potreby finančnej kontroly obstarávania nahrádza písomný zmluvný vzťah.</w:t>
      </w:r>
    </w:p>
    <w:p w14:paraId="37CC5D45" w14:textId="77777777" w:rsidR="00D12485" w:rsidRDefault="00D12485" w:rsidP="006F252F">
      <w:pPr>
        <w:numPr>
          <w:ilvl w:val="0"/>
          <w:numId w:val="25"/>
        </w:numPr>
        <w:spacing w:before="120" w:after="120"/>
        <w:ind w:left="426" w:hanging="426"/>
        <w:jc w:val="both"/>
      </w:pPr>
      <w:r>
        <w:t xml:space="preserve">RO si v riadiacej dokumentácii definuje minimálne povinné náležitosti objednávky, </w:t>
      </w:r>
      <w:r>
        <w:br/>
        <w:t xml:space="preserve">tak aby táto spĺňala minimálne náležitosti písomného zmluvného vzťahu. Medzi takéto náležitosti objednávky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ITMS2014+ </w:t>
      </w:r>
      <w:r>
        <w:br/>
        <w:t xml:space="preserve">(ak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14:paraId="36230286" w14:textId="77777777" w:rsidR="00D12485" w:rsidRDefault="00D12485" w:rsidP="006F252F">
      <w:pPr>
        <w:pStyle w:val="Odsekzoznamu"/>
        <w:numPr>
          <w:ilvl w:val="0"/>
          <w:numId w:val="25"/>
        </w:numPr>
        <w:ind w:left="426" w:hanging="426"/>
        <w:jc w:val="both"/>
      </w:pPr>
      <w:r>
        <w:lastRenderedPageBreak/>
        <w:t>Prijímateľ je povinný pri výbere úspešného dodávateľa</w:t>
      </w:r>
      <w:r w:rsidRPr="00076439">
        <w:t xml:space="preserve"> zabezpečiť dodržiavanie</w:t>
      </w:r>
      <w:r>
        <w:t xml:space="preserve"> nasledujúcich princípov</w:t>
      </w:r>
      <w:r w:rsidRPr="00076439">
        <w:t>, ktorými sú:</w:t>
      </w:r>
    </w:p>
    <w:p w14:paraId="78249C14" w14:textId="77777777" w:rsidR="00D12485" w:rsidRDefault="00D12485" w:rsidP="006C3BF1">
      <w:pPr>
        <w:pStyle w:val="Odsekzoznamu"/>
        <w:numPr>
          <w:ilvl w:val="0"/>
          <w:numId w:val="26"/>
        </w:numPr>
        <w:spacing w:before="120" w:after="120"/>
        <w:ind w:left="850" w:hanging="425"/>
        <w:contextualSpacing w:val="0"/>
        <w:jc w:val="both"/>
      </w:pPr>
      <w:r>
        <w:t>rovnaké zaobchádzanie a </w:t>
      </w:r>
      <w:r w:rsidRPr="001826F8">
        <w:t>nediskriminácia</w:t>
      </w:r>
      <w:r>
        <w:t xml:space="preserve"> hospodárskych subjektov,</w:t>
      </w:r>
    </w:p>
    <w:p w14:paraId="2F849D75" w14:textId="77777777" w:rsidR="00D12485" w:rsidRDefault="00D12485" w:rsidP="006C3BF1">
      <w:pPr>
        <w:pStyle w:val="Odsekzoznamu"/>
        <w:numPr>
          <w:ilvl w:val="0"/>
          <w:numId w:val="26"/>
        </w:numPr>
        <w:spacing w:before="120" w:after="120"/>
        <w:ind w:left="850" w:hanging="425"/>
        <w:contextualSpacing w:val="0"/>
        <w:jc w:val="both"/>
      </w:pPr>
      <w:r w:rsidRPr="001826F8">
        <w:t>transparentnosť</w:t>
      </w:r>
      <w:r>
        <w:t>,</w:t>
      </w:r>
      <w:r w:rsidRPr="001826F8">
        <w:t xml:space="preserve"> vrátane vylúčenia konfliktu záujmov,</w:t>
      </w:r>
    </w:p>
    <w:p w14:paraId="0D996474" w14:textId="77777777" w:rsidR="00D12485" w:rsidRDefault="00D12485" w:rsidP="006C3BF1">
      <w:pPr>
        <w:pStyle w:val="Odsekzoznamu"/>
        <w:numPr>
          <w:ilvl w:val="0"/>
          <w:numId w:val="26"/>
        </w:numPr>
        <w:spacing w:before="120" w:after="120"/>
        <w:ind w:left="850" w:hanging="425"/>
        <w:contextualSpacing w:val="0"/>
        <w:jc w:val="both"/>
      </w:pPr>
      <w:r>
        <w:t>hospodárnosť a efektívnosť</w:t>
      </w:r>
    </w:p>
    <w:p w14:paraId="50AF6C8A" w14:textId="77777777" w:rsidR="00D12485" w:rsidRDefault="00D12485" w:rsidP="006C3BF1">
      <w:pPr>
        <w:pStyle w:val="Odsekzoznamu"/>
        <w:numPr>
          <w:ilvl w:val="0"/>
          <w:numId w:val="26"/>
        </w:numPr>
        <w:spacing w:before="120" w:after="120"/>
        <w:ind w:left="850" w:hanging="425"/>
        <w:contextualSpacing w:val="0"/>
        <w:jc w:val="both"/>
      </w:pPr>
      <w:r>
        <w:t>proporcionalita</w:t>
      </w:r>
      <w:r w:rsidRPr="001826F8">
        <w:t>.</w:t>
      </w:r>
    </w:p>
    <w:p w14:paraId="74E3BF06" w14:textId="77777777" w:rsidR="00D12485" w:rsidRPr="00EB1C58" w:rsidRDefault="00D12485" w:rsidP="006F252F">
      <w:pPr>
        <w:numPr>
          <w:ilvl w:val="0"/>
          <w:numId w:val="25"/>
        </w:numPr>
        <w:spacing w:before="120" w:after="120"/>
        <w:ind w:left="426" w:hanging="426"/>
        <w:jc w:val="both"/>
      </w:pPr>
      <w:r>
        <w:t xml:space="preserve">Pri obstarávaní zákaziek tohto typu je prijímateľ povinný vykonať prieskum trhu, ktorého pravidlá sú upravené nižšie v závislosti od hodnoty zákazky.  </w:t>
      </w:r>
    </w:p>
    <w:p w14:paraId="602441AA" w14:textId="77777777" w:rsidR="00D12485" w:rsidRPr="00EB1C58" w:rsidRDefault="00D12485" w:rsidP="006F252F">
      <w:pPr>
        <w:pStyle w:val="Odsekzoznamu"/>
        <w:numPr>
          <w:ilvl w:val="0"/>
          <w:numId w:val="25"/>
        </w:numPr>
        <w:ind w:left="426" w:hanging="426"/>
        <w:jc w:val="both"/>
      </w:pPr>
      <w:r w:rsidRPr="00EB1C58">
        <w:t>Prijímateľ vo výzve na predkladanie ponúk</w:t>
      </w:r>
      <w:r>
        <w:t>:</w:t>
      </w:r>
    </w:p>
    <w:p w14:paraId="69F7F397" w14:textId="77777777" w:rsidR="00D12485" w:rsidRPr="004A49AE" w:rsidRDefault="00D12485" w:rsidP="006C3BF1">
      <w:pPr>
        <w:pStyle w:val="Odsekzoznamu"/>
        <w:numPr>
          <w:ilvl w:val="0"/>
          <w:numId w:val="27"/>
        </w:numPr>
        <w:spacing w:before="120" w:after="120"/>
        <w:ind w:left="850" w:hanging="425"/>
        <w:contextualSpacing w:val="0"/>
        <w:jc w:val="both"/>
        <w:rPr>
          <w:color w:val="FF0000"/>
        </w:rPr>
      </w:pPr>
      <w:r>
        <w:t xml:space="preserve">uvedie presnú identifikáciu prijímateľa, ktorý zadáva zákazku, </w:t>
      </w:r>
    </w:p>
    <w:p w14:paraId="6848EA14" w14:textId="77777777" w:rsidR="00D12485" w:rsidRPr="002D1090" w:rsidRDefault="00D12485" w:rsidP="006C3BF1">
      <w:pPr>
        <w:pStyle w:val="Odsekzoznamu"/>
        <w:numPr>
          <w:ilvl w:val="0"/>
          <w:numId w:val="27"/>
        </w:numPr>
        <w:spacing w:before="120" w:after="120"/>
        <w:ind w:left="850" w:hanging="425"/>
        <w:contextualSpacing w:val="0"/>
        <w:jc w:val="both"/>
      </w:pPr>
      <w:r w:rsidRPr="004A49AE">
        <w:t>jednoznačne, jasne a určito vymedzí celý predmet</w:t>
      </w:r>
      <w:r>
        <w:t xml:space="preserve"> </w:t>
      </w:r>
      <w:r w:rsidRPr="004A49AE">
        <w:t xml:space="preserve"> zákazky (presne stanoví špecifikáciu </w:t>
      </w:r>
      <w:r w:rsidRPr="002D1090">
        <w:t xml:space="preserve">tovaru alebo poskytovaných služieb, popíše parametre tovaru/poskytovaných služieb; pri stavebných prácach vymedzí </w:t>
      </w:r>
      <w:proofErr w:type="spellStart"/>
      <w:r w:rsidRPr="002D1090">
        <w:t>položkovite</w:t>
      </w:r>
      <w:proofErr w:type="spellEnd"/>
      <w:r w:rsidRPr="002D1090">
        <w:t xml:space="preserve"> materiál, uvedie mernú jednotku, množstvo, uvedie požadovaný rozsah prác atď.), určí lehotu </w:t>
      </w:r>
      <w:r>
        <w:br/>
      </w:r>
      <w:r w:rsidRPr="002D1090">
        <w:t xml:space="preserve">a miesto dodania predmetu zákazky; </w:t>
      </w:r>
    </w:p>
    <w:p w14:paraId="5048F5A1" w14:textId="77777777" w:rsidR="00D12485" w:rsidRPr="002D1090" w:rsidRDefault="00D12485" w:rsidP="006C3BF1">
      <w:pPr>
        <w:pStyle w:val="Odsekzoznamu"/>
        <w:numPr>
          <w:ilvl w:val="0"/>
          <w:numId w:val="27"/>
        </w:numPr>
        <w:spacing w:before="120" w:after="120"/>
        <w:ind w:left="850" w:hanging="425"/>
        <w:contextualSpacing w:val="0"/>
        <w:jc w:val="both"/>
      </w:pPr>
      <w:r w:rsidRPr="002D1090">
        <w:rPr>
          <w:iCs/>
        </w:rPr>
        <w:t xml:space="preserve">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 </w:t>
      </w:r>
      <w:r>
        <w:rPr>
          <w:iCs/>
        </w:rPr>
        <w:br/>
      </w:r>
      <w:r w:rsidRPr="002D1090">
        <w:rPr>
          <w:iCs/>
        </w:rPr>
        <w:t>na predkladanie ponúk v prípade týchto zákaziek sú zverejňované);</w:t>
      </w:r>
    </w:p>
    <w:p w14:paraId="1A03FEB4" w14:textId="77777777" w:rsidR="00D12485" w:rsidRDefault="00D12485" w:rsidP="006C3BF1">
      <w:pPr>
        <w:pStyle w:val="Odsekzoznamu"/>
        <w:numPr>
          <w:ilvl w:val="0"/>
          <w:numId w:val="27"/>
        </w:numPr>
        <w:spacing w:before="120" w:after="120"/>
        <w:ind w:left="850" w:hanging="425"/>
        <w:contextualSpacing w:val="0"/>
        <w:jc w:val="both"/>
      </w:pPr>
      <w:r>
        <w:t xml:space="preserve">vyžaduje od potenciálnych dodávateľov doklad o oprávnení dodávať tovar, uskutočňovať stavebné práce alebo poskytovať službu v rozsahu, ktorý zodpovedá predmetu  zákazky iba v prípade, </w:t>
      </w:r>
      <w:r>
        <w:rPr>
          <w:bCs/>
          <w:szCs w:val="28"/>
        </w:rPr>
        <w:t>ak nie je oprávnený použiť údaje z informačných systémov verejnej správy podľa osobitného predpisu</w:t>
      </w:r>
      <w:r>
        <w:rPr>
          <w:rStyle w:val="Odkaznapoznmkupodiarou"/>
          <w:rFonts w:eastAsiaTheme="majorEastAsia"/>
        </w:rPr>
        <w:footnoteReference w:id="1"/>
      </w:r>
      <w:r>
        <w:t xml:space="preserve"> </w:t>
      </w:r>
    </w:p>
    <w:p w14:paraId="264EF15F" w14:textId="77777777" w:rsidR="00D12485" w:rsidRDefault="00D12485" w:rsidP="006C3BF1">
      <w:pPr>
        <w:pStyle w:val="Odsekzoznamu"/>
        <w:numPr>
          <w:ilvl w:val="0"/>
          <w:numId w:val="27"/>
        </w:numPr>
        <w:spacing w:before="120" w:after="120"/>
        <w:ind w:left="850" w:hanging="425"/>
        <w:contextualSpacing w:val="0"/>
        <w:jc w:val="both"/>
      </w:pPr>
      <w:r>
        <w:t xml:space="preserve">môže požadovať na preukázanie </w:t>
      </w:r>
      <w:r w:rsidRPr="00311472">
        <w:t xml:space="preserve">podmienok účasti týkajúcich sa finančného </w:t>
      </w:r>
      <w:r>
        <w:br/>
      </w:r>
      <w:r w:rsidRPr="00311472">
        <w:t>a ekonomického postavenia a technickej spôsobilosti ale</w:t>
      </w:r>
      <w:r>
        <w:t>bo odbornej spôsobilosti predloženie dokladov, a to najmä:</w:t>
      </w:r>
    </w:p>
    <w:p w14:paraId="3D8E82E8" w14:textId="77777777" w:rsidR="00D12485" w:rsidRDefault="00D12485" w:rsidP="006C3BF1">
      <w:pPr>
        <w:pStyle w:val="Odsekzoznamu"/>
        <w:numPr>
          <w:ilvl w:val="0"/>
          <w:numId w:val="36"/>
        </w:numPr>
        <w:spacing w:before="120" w:after="120"/>
        <w:ind w:left="1276" w:hanging="425"/>
        <w:contextualSpacing w:val="0"/>
        <w:jc w:val="both"/>
      </w:pPr>
      <w:r>
        <w:t>prehľad</w:t>
      </w:r>
      <w:r w:rsidRPr="00150918">
        <w:t xml:space="preserve"> o celkovom ob</w:t>
      </w:r>
      <w:r>
        <w:t>rate a ak je to vhodné, prehľad</w:t>
      </w:r>
      <w:r w:rsidRPr="00150918">
        <w:t xml:space="preserve"> o dosiahnutom obrate </w:t>
      </w:r>
      <w:r>
        <w:t xml:space="preserve">                   </w:t>
      </w:r>
      <w:r w:rsidRPr="00150918">
        <w:t>v oblasti, ktorej sa predmet</w:t>
      </w:r>
      <w:r>
        <w:t xml:space="preserve"> </w:t>
      </w:r>
      <w:r w:rsidRPr="00150918">
        <w:t xml:space="preserve"> zákazky alebo koncesie týka, najviac za posledné tri hospodárske roky</w:t>
      </w:r>
      <w:r>
        <w:t>,</w:t>
      </w:r>
    </w:p>
    <w:p w14:paraId="1F40DD5E" w14:textId="77777777" w:rsidR="00D12485" w:rsidRDefault="00D12485" w:rsidP="006C3BF1">
      <w:pPr>
        <w:pStyle w:val="Odsekzoznamu"/>
        <w:numPr>
          <w:ilvl w:val="0"/>
          <w:numId w:val="37"/>
        </w:numPr>
        <w:spacing w:before="120" w:after="120"/>
        <w:ind w:left="1701" w:hanging="425"/>
        <w:contextualSpacing w:val="0"/>
        <w:jc w:val="both"/>
      </w:pPr>
      <w:r>
        <w:t xml:space="preserve">požiadavka na výšku obratu za hospodársky rok nesmie presiahnuť dvojnásobok hodnoty danej položky v rozpočte projektu, vypočítanú </w:t>
      </w:r>
      <w:r>
        <w:br/>
        <w:t>na obdobie 12 mesiacov, ak je trvanie zmluvy dlhšie ako 12 mesiacov,</w:t>
      </w:r>
    </w:p>
    <w:p w14:paraId="167925E2" w14:textId="77777777" w:rsidR="00D12485" w:rsidRPr="002320ED" w:rsidRDefault="00D12485" w:rsidP="006C3BF1">
      <w:pPr>
        <w:pStyle w:val="Odsekzoznamu"/>
        <w:numPr>
          <w:ilvl w:val="0"/>
          <w:numId w:val="37"/>
        </w:numPr>
        <w:spacing w:before="120" w:after="120"/>
        <w:ind w:left="1701" w:hanging="425"/>
        <w:contextualSpacing w:val="0"/>
        <w:jc w:val="both"/>
      </w:pPr>
      <w:r w:rsidRPr="002320ED">
        <w:t xml:space="preserve">požiadavka na výšku obratu za hospodársky rok nesmie presiahnuť dvojnásobok hodnoty danej položky v rozpočte projektu, </w:t>
      </w:r>
      <w:r>
        <w:t>ak je trvanie zmluvy kratšie ako 12 mesiacov,</w:t>
      </w:r>
    </w:p>
    <w:p w14:paraId="40AF148F" w14:textId="77777777" w:rsidR="00D12485" w:rsidRDefault="00D12485" w:rsidP="006C3BF1">
      <w:pPr>
        <w:pStyle w:val="Odsekzoznamu"/>
        <w:numPr>
          <w:ilvl w:val="0"/>
          <w:numId w:val="37"/>
        </w:numPr>
        <w:spacing w:before="120" w:after="120"/>
        <w:ind w:left="1701" w:hanging="425"/>
        <w:contextualSpacing w:val="0"/>
        <w:jc w:val="both"/>
      </w:pPr>
      <w:r>
        <w:t>ak prijímateľ vyžaduje obrat za viac ako jeden hospodársky rok, jeho výšku môže určiť iba súhrnne za určené obdobie;</w:t>
      </w:r>
    </w:p>
    <w:p w14:paraId="17B49A67" w14:textId="77777777" w:rsidR="00D12485" w:rsidRDefault="00D12485" w:rsidP="006C3BF1">
      <w:pPr>
        <w:pStyle w:val="Odsekzoznamu"/>
        <w:numPr>
          <w:ilvl w:val="0"/>
          <w:numId w:val="36"/>
        </w:numPr>
        <w:spacing w:before="120" w:after="120"/>
        <w:ind w:left="1276" w:hanging="425"/>
        <w:contextualSpacing w:val="0"/>
        <w:jc w:val="both"/>
      </w:pPr>
      <w:r>
        <w:lastRenderedPageBreak/>
        <w:t xml:space="preserve">zoznam dodávok tovaru alebo poskytnutých služieb za predchádzajúce tri roky </w:t>
      </w:r>
      <w:r>
        <w:br/>
        <w:t xml:space="preserve">od vyhlásenia zákazky s uvedením cien, lehôt dodania a odberateľov; </w:t>
      </w:r>
    </w:p>
    <w:p w14:paraId="06941CD7" w14:textId="77777777" w:rsidR="00D12485" w:rsidRDefault="00D12485" w:rsidP="006C3BF1">
      <w:pPr>
        <w:pStyle w:val="Odsekzoznamu"/>
        <w:numPr>
          <w:ilvl w:val="0"/>
          <w:numId w:val="36"/>
        </w:numPr>
        <w:spacing w:before="120" w:after="120"/>
        <w:ind w:left="1276" w:hanging="425"/>
        <w:contextualSpacing w:val="0"/>
        <w:jc w:val="both"/>
      </w:pPr>
      <w:r>
        <w:t xml:space="preserve">zoznam stavebných prác uskutočnených za predchádzajúcich päť rokov                         od vyhlásenia zákazky s uvedením cien, miest a lehôt uskutočnenia stavebných prác; </w:t>
      </w:r>
    </w:p>
    <w:p w14:paraId="7B231927" w14:textId="77777777" w:rsidR="00D12485" w:rsidRDefault="00D12485" w:rsidP="006C3BF1">
      <w:pPr>
        <w:pStyle w:val="Odsekzoznamu"/>
        <w:numPr>
          <w:ilvl w:val="0"/>
          <w:numId w:val="36"/>
        </w:numPr>
        <w:spacing w:before="120" w:after="120"/>
        <w:ind w:left="1276" w:hanging="425"/>
        <w:contextualSpacing w:val="0"/>
        <w:jc w:val="both"/>
      </w:pPr>
      <w:r w:rsidRPr="004A49AE">
        <w:t>ak ide o sta</w:t>
      </w:r>
      <w:r>
        <w:t>vebné práce alebo služby, údaje</w:t>
      </w:r>
      <w:r w:rsidRPr="004A49AE">
        <w:t xml:space="preserve"> o vzdelaní a odbornej praxi </w:t>
      </w:r>
      <w:r>
        <w:br/>
      </w:r>
      <w:r w:rsidRPr="004A49AE">
        <w:t>alebo o odbornej kvalifikácií osôb určených na plnenie zmluvy</w:t>
      </w:r>
      <w:r>
        <w:t>,</w:t>
      </w:r>
    </w:p>
    <w:p w14:paraId="0C88DE17" w14:textId="77777777" w:rsidR="00D12485" w:rsidRDefault="00D12485" w:rsidP="006C3BF1">
      <w:pPr>
        <w:pStyle w:val="Odsekzoznamu"/>
        <w:numPr>
          <w:ilvl w:val="0"/>
          <w:numId w:val="36"/>
        </w:numPr>
        <w:spacing w:before="120" w:after="120"/>
        <w:ind w:left="1276" w:hanging="425"/>
        <w:contextualSpacing w:val="0"/>
        <w:jc w:val="both"/>
      </w:pPr>
      <w:r>
        <w:t>údaje</w:t>
      </w:r>
      <w:r w:rsidRPr="00150918">
        <w:t xml:space="preserve"> o strojovom, prevádzkovom alebo technickom vybavení, ktoré má uchádzač alebo záujemca k dispozícií na uskutočnenie stavebných prác alebo na poskytnutie služby</w:t>
      </w:r>
    </w:p>
    <w:p w14:paraId="79BCC1A3" w14:textId="77777777" w:rsidR="00D12485" w:rsidRDefault="00D12485" w:rsidP="006C3BF1">
      <w:pPr>
        <w:pStyle w:val="Odsekzoznamu"/>
        <w:spacing w:before="120" w:after="120"/>
        <w:ind w:left="851"/>
        <w:contextualSpacing w:val="0"/>
        <w:jc w:val="both"/>
      </w:pPr>
      <w:r>
        <w:t xml:space="preserve">Potenciálny dodávateľ môže predbežne nahradiť doklady na preukázanie splnenia podmienok účasti </w:t>
      </w:r>
      <w:r w:rsidRPr="001924F8">
        <w:t>finančného a ekonomického postavenia a technickej spôsobilosti alebo odbornej spôsobilosti</w:t>
      </w:r>
      <w:r>
        <w:t xml:space="preserve">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w:t>
      </w:r>
      <w:r w:rsidRPr="0009529D">
        <w:t xml:space="preserve"> </w:t>
      </w:r>
      <w:r>
        <w:t>potenciálny dodávateľ</w:t>
      </w:r>
      <w:r w:rsidDel="00824689">
        <w:t xml:space="preserve"> </w:t>
      </w:r>
      <w:r w:rsidRPr="0009529D">
        <w:t xml:space="preserve">doručí doklady </w:t>
      </w:r>
      <w:r>
        <w:t>prijímateľovi do piatich</w:t>
      </w:r>
      <w:r w:rsidRPr="0009529D">
        <w:t xml:space="preserve"> pracovných dní </w:t>
      </w:r>
      <w:r>
        <w:br/>
      </w:r>
      <w:r w:rsidRPr="0009529D">
        <w:t xml:space="preserve">odo dňa doručenia žiadosti, ak </w:t>
      </w:r>
      <w:r>
        <w:t xml:space="preserve">prijímateľ </w:t>
      </w:r>
      <w:r w:rsidRPr="0009529D">
        <w:t>neurčil dlhšiu lehotu</w:t>
      </w:r>
      <w:r>
        <w:t>; ak potenciálny dodávateľ</w:t>
      </w:r>
      <w:r w:rsidDel="00824689">
        <w:t xml:space="preserve"> </w:t>
      </w:r>
      <w:r>
        <w:t>nedoručí doklady v stanovenej lehote, jeho ponuka nebude prijatá a ako úspešný bude vyhodnotený potenciálny dodávateľ, ktorý sa umiestnil ako druhý v poradí;</w:t>
      </w:r>
    </w:p>
    <w:p w14:paraId="595D8DA3" w14:textId="77777777" w:rsidR="00D12485" w:rsidRDefault="00D12485" w:rsidP="006C3BF1">
      <w:pPr>
        <w:pStyle w:val="Odsekzoznamu"/>
        <w:numPr>
          <w:ilvl w:val="0"/>
          <w:numId w:val="27"/>
        </w:numPr>
        <w:spacing w:before="120" w:after="120"/>
        <w:ind w:left="851" w:hanging="425"/>
        <w:contextualSpacing w:val="0"/>
        <w:jc w:val="both"/>
      </w:pPr>
      <w:r>
        <w:t xml:space="preserve">stanoví </w:t>
      </w:r>
      <w:r w:rsidRPr="005673F5">
        <w:t>nediskriminačné kritériá pre vyhodnotenie ponúk</w:t>
      </w:r>
      <w:r>
        <w:t xml:space="preserve">, ktoré súvisia s predmetom zákazky  a ich relatívnu váhu (pozn.: v prípade určenia kritéria na vyhodnotenie ponúk „najnižšia cena“, nie je potrebné uvádzať </w:t>
      </w:r>
      <w:proofErr w:type="spellStart"/>
      <w:r>
        <w:t>váhovosť</w:t>
      </w:r>
      <w:proofErr w:type="spellEnd"/>
      <w:r>
        <w:t>),</w:t>
      </w:r>
    </w:p>
    <w:p w14:paraId="750F9721" w14:textId="77777777" w:rsidR="00D12485" w:rsidRDefault="00D12485" w:rsidP="006C3BF1">
      <w:pPr>
        <w:pStyle w:val="Odsekzoznamu"/>
        <w:numPr>
          <w:ilvl w:val="0"/>
          <w:numId w:val="27"/>
        </w:numPr>
        <w:spacing w:before="120" w:after="120"/>
        <w:ind w:left="851" w:hanging="425"/>
        <w:contextualSpacing w:val="0"/>
        <w:jc w:val="both"/>
      </w:pPr>
      <w:r>
        <w:t>stanoví l</w:t>
      </w:r>
      <w:r w:rsidRPr="005673F5">
        <w:t>ehot</w:t>
      </w:r>
      <w:r>
        <w:t>u na predkladanie</w:t>
      </w:r>
      <w:r w:rsidRPr="005673F5">
        <w:t xml:space="preserve"> ponúk</w:t>
      </w:r>
      <w:r>
        <w:t>,</w:t>
      </w:r>
      <w:r w:rsidRPr="007F7498">
        <w:t xml:space="preserve"> </w:t>
      </w:r>
      <w:r>
        <w:t xml:space="preserve">ktorá </w:t>
      </w:r>
      <w:r w:rsidRPr="007F7498">
        <w:t xml:space="preserve">musí byť primeraná a musí zohľadniť zložitosť a charakter predmetu zákazky, čas nevyhnutne potrebný na </w:t>
      </w:r>
      <w:r>
        <w:t xml:space="preserve">vypracovanie </w:t>
      </w:r>
      <w:r>
        <w:br/>
        <w:t>a doručenie ponuky,</w:t>
      </w:r>
    </w:p>
    <w:p w14:paraId="7225C2EC" w14:textId="77777777" w:rsidR="00D12485" w:rsidRPr="00EB1C58" w:rsidRDefault="00D12485" w:rsidP="006C3BF1">
      <w:pPr>
        <w:pStyle w:val="Odsekzoznamu"/>
        <w:numPr>
          <w:ilvl w:val="0"/>
          <w:numId w:val="27"/>
        </w:numPr>
        <w:spacing w:before="120" w:after="120"/>
        <w:ind w:left="851" w:hanging="425"/>
        <w:contextualSpacing w:val="0"/>
        <w:jc w:val="both"/>
      </w:pPr>
      <w:r>
        <w:t>uvedie miesto a spôsob predkladania ponúk, napr. min. 2 adresy elektronickej komunikácie, na ktoré sa ponuky predkladajú;</w:t>
      </w:r>
    </w:p>
    <w:p w14:paraId="2DB3D457" w14:textId="77777777" w:rsidR="00D12485" w:rsidRDefault="00D12485" w:rsidP="00D12485">
      <w:pPr>
        <w:numPr>
          <w:ilvl w:val="0"/>
          <w:numId w:val="25"/>
        </w:numPr>
        <w:spacing w:before="120" w:after="120"/>
        <w:ind w:left="426" w:hanging="426"/>
        <w:jc w:val="both"/>
      </w:pPr>
      <w:r>
        <w:t>Ponuka potenciálneho dodávateľa musí</w:t>
      </w:r>
      <w:r w:rsidRPr="00EB1C58">
        <w:t xml:space="preserve"> byť </w:t>
      </w:r>
      <w:r>
        <w:t xml:space="preserve">predložená v slovenskom alebo </w:t>
      </w:r>
      <w:r w:rsidRPr="00EB1C58">
        <w:t xml:space="preserve">českom jazyku. Ak má </w:t>
      </w:r>
      <w:r>
        <w:t xml:space="preserve">tento </w:t>
      </w:r>
      <w:r w:rsidRPr="00EB1C58">
        <w:t xml:space="preserve">sídlo mimo územia Slovenskej republiky, doklady a dokumenty </w:t>
      </w:r>
      <w:r>
        <w:t xml:space="preserve">tvoriace súčasť ponuky </w:t>
      </w:r>
      <w:r w:rsidRPr="00EB1C58">
        <w:t>musia byť predložené v pôvodnom jazyku a súčasne musia byť preložené do slovenského jazyka</w:t>
      </w:r>
      <w:r>
        <w:t>,</w:t>
      </w:r>
      <w:r w:rsidRPr="00EB1C58">
        <w:t xml:space="preserve"> okrem dokladov predložených v českom jazyku. </w:t>
      </w:r>
    </w:p>
    <w:p w14:paraId="66E5EA24" w14:textId="77777777" w:rsidR="00D12485" w:rsidRDefault="00D12485" w:rsidP="00D12485">
      <w:pPr>
        <w:numPr>
          <w:ilvl w:val="0"/>
          <w:numId w:val="25"/>
        </w:numPr>
        <w:spacing w:before="120" w:after="120"/>
        <w:ind w:left="426" w:hanging="426"/>
        <w:jc w:val="both"/>
      </w:pPr>
      <w:r w:rsidRPr="002B2BCB">
        <w:t>Prijímateľ</w:t>
      </w:r>
      <w:r>
        <w:t xml:space="preserve"> je zároveň povinný uzatvoriť zmluvu/zadať objednávku v súlade s výzvou </w:t>
      </w:r>
      <w:r>
        <w:br/>
        <w:t xml:space="preserve">na predkladanie ponúk a s ponukou úspešného dodávateľa. </w:t>
      </w:r>
    </w:p>
    <w:p w14:paraId="1D544D6F" w14:textId="77777777" w:rsidR="00D12485" w:rsidRDefault="00D12485" w:rsidP="00D12485">
      <w:pPr>
        <w:numPr>
          <w:ilvl w:val="0"/>
          <w:numId w:val="25"/>
        </w:numPr>
        <w:spacing w:before="120" w:after="120"/>
        <w:ind w:left="426" w:hanging="426"/>
        <w:jc w:val="both"/>
      </w:pPr>
      <w:r>
        <w:t>Prijímateľ môže zrušiť použitý postup zadávania zákazky, ak</w:t>
      </w:r>
    </w:p>
    <w:p w14:paraId="462B5372" w14:textId="77777777" w:rsidR="00D12485" w:rsidRDefault="00D12485" w:rsidP="009A7849">
      <w:pPr>
        <w:pStyle w:val="Odsekzoznamu"/>
        <w:numPr>
          <w:ilvl w:val="0"/>
          <w:numId w:val="28"/>
        </w:numPr>
        <w:spacing w:before="120" w:after="120"/>
        <w:ind w:left="851" w:hanging="425"/>
        <w:jc w:val="both"/>
      </w:pPr>
      <w:r>
        <w:t xml:space="preserve">ani jeden potenciálny dodávateľ nesplnil podmienky uvedené vo výzve </w:t>
      </w:r>
      <w:r>
        <w:br/>
        <w:t>na predkladanie ponúk,</w:t>
      </w:r>
    </w:p>
    <w:p w14:paraId="072D1821" w14:textId="77777777" w:rsidR="00D12485" w:rsidRPr="00190A79" w:rsidRDefault="00D12485" w:rsidP="009A7849">
      <w:pPr>
        <w:pStyle w:val="Odsekzoznamu"/>
        <w:numPr>
          <w:ilvl w:val="0"/>
          <w:numId w:val="28"/>
        </w:numPr>
        <w:spacing w:before="120" w:after="120"/>
        <w:ind w:left="851" w:hanging="425"/>
        <w:jc w:val="both"/>
      </w:pPr>
      <w:r>
        <w:t>ak sa zmenili okolnosti, za ktorých sa vyhlásilo obstarávanie (pozn. tieto okolnosti je prijímateľ povinný pomenovať a odôvodniť zrušenie postupu zadávania zákazky)</w:t>
      </w:r>
    </w:p>
    <w:p w14:paraId="519BD3D7" w14:textId="77777777" w:rsidR="00D12485" w:rsidRDefault="00D12485" w:rsidP="00D12485">
      <w:pPr>
        <w:numPr>
          <w:ilvl w:val="0"/>
          <w:numId w:val="25"/>
        </w:numPr>
        <w:spacing w:before="120" w:after="120"/>
        <w:ind w:left="426" w:hanging="426"/>
        <w:jc w:val="both"/>
      </w:pPr>
      <w:r w:rsidRPr="00857D31">
        <w:t xml:space="preserve">Lehota na </w:t>
      </w:r>
      <w:r>
        <w:t>výkon kontroly je 20</w:t>
      </w:r>
      <w:r w:rsidRPr="00857D31">
        <w:t xml:space="preserve"> pracovných dní</w:t>
      </w:r>
      <w:r>
        <w:t xml:space="preserve"> v prípade zákaziek nad 100 000 eur a 15 pracovných dní v prípade zákaziek do 100 000 eur</w:t>
      </w:r>
      <w:r w:rsidRPr="00857D31">
        <w:t>.</w:t>
      </w:r>
      <w:r>
        <w:t xml:space="preserve"> Ak si </w:t>
      </w:r>
      <w:r w:rsidRPr="00DF7AFB">
        <w:t xml:space="preserve">RO </w:t>
      </w:r>
      <w:r>
        <w:t xml:space="preserve">definuje </w:t>
      </w:r>
      <w:r w:rsidRPr="00DF7AFB">
        <w:t xml:space="preserve">požiadavku </w:t>
      </w:r>
      <w:r>
        <w:br/>
      </w:r>
      <w:r w:rsidRPr="00DF7AFB">
        <w:t xml:space="preserve">na predkladanie takejto dokumentácie </w:t>
      </w:r>
      <w:r>
        <w:t xml:space="preserve">na kontrolu </w:t>
      </w:r>
      <w:r w:rsidRPr="00DF7AFB">
        <w:t xml:space="preserve">ešte pred podpisom zmluvy </w:t>
      </w:r>
      <w:r>
        <w:br/>
      </w:r>
      <w:r w:rsidRPr="00DF7AFB">
        <w:t>s úspešným dodávateľom na ex-</w:t>
      </w:r>
      <w:proofErr w:type="spellStart"/>
      <w:r w:rsidRPr="00DF7AFB">
        <w:t>ante</w:t>
      </w:r>
      <w:proofErr w:type="spellEnd"/>
      <w:r w:rsidRPr="00DF7AFB">
        <w:t xml:space="preserve"> kontrolu</w:t>
      </w:r>
      <w:r>
        <w:t xml:space="preserve"> v prípade zákaziek nad 100 000 eur, </w:t>
      </w:r>
      <w:r>
        <w:br/>
      </w:r>
      <w:r>
        <w:lastRenderedPageBreak/>
        <w:t>tak lehota na výkon ex-</w:t>
      </w:r>
      <w:proofErr w:type="spellStart"/>
      <w:r>
        <w:t>ante</w:t>
      </w:r>
      <w:proofErr w:type="spellEnd"/>
      <w:r>
        <w:t xml:space="preserve"> kontroly je 20 pracovných dní a lehota na následnú ex-post kontrolu je 7 pracovných dní.</w:t>
      </w:r>
    </w:p>
    <w:p w14:paraId="621AC874" w14:textId="77777777" w:rsidR="00D12485" w:rsidRDefault="00D12485" w:rsidP="00D12485">
      <w:pPr>
        <w:numPr>
          <w:ilvl w:val="0"/>
          <w:numId w:val="25"/>
        </w:numPr>
        <w:spacing w:before="120" w:after="120"/>
        <w:ind w:left="426" w:hanging="426"/>
        <w:jc w:val="both"/>
      </w:pPr>
      <w:r w:rsidRPr="004D0494">
        <w:t xml:space="preserve">Lehoty na výkon finančnej kontroly obstarávania začínajú pre RO plynúť dňom nasledujúcim po dni doručenia dokumentácie. Ak dokumentácia nie je kompletná, požiada RO o jej doplnenie a lehota na výkon finančnej kontroly </w:t>
      </w:r>
      <w:r>
        <w:t xml:space="preserve">obstarávania </w:t>
      </w:r>
      <w:r>
        <w:br/>
      </w:r>
      <w:r w:rsidRPr="004D0494">
        <w:t xml:space="preserve">sa prerušuje. Rovnako v prípade podania námietok, resp. plynutia lehoty na podanie námietok </w:t>
      </w:r>
      <w:r>
        <w:t>voči skutočnostiam uvedeným</w:t>
      </w:r>
      <w:r w:rsidRPr="004D0494">
        <w:t xml:space="preserve"> </w:t>
      </w:r>
      <w:r>
        <w:t xml:space="preserve">v </w:t>
      </w:r>
      <w:r w:rsidRPr="004D0494">
        <w:t>návrhu správy z kontroly, sa lehot</w:t>
      </w:r>
      <w:r>
        <w:t>a na výkon finančnej kontroly obstarávania</w:t>
      </w:r>
      <w:r w:rsidRPr="004D0494">
        <w:t xml:space="preserve"> prerušuje. Prijímateľ má mo</w:t>
      </w:r>
      <w:r>
        <w:t xml:space="preserve">žnosť </w:t>
      </w:r>
      <w:proofErr w:type="spellStart"/>
      <w:r>
        <w:t>späťvzatia</w:t>
      </w:r>
      <w:proofErr w:type="spellEnd"/>
      <w:r>
        <w:t xml:space="preserve"> dokumentácie k</w:t>
      </w:r>
      <w:r w:rsidRPr="004D0494">
        <w:t xml:space="preserve"> obstarávaniu, ktorá bola predložená na RO za účelom výkonu finančnej kontroly obstarávania, a to so súhlasom dotknutého RO. RO je povinný dokončiť kontrolu aj </w:t>
      </w:r>
      <w:proofErr w:type="spellStart"/>
      <w:r w:rsidRPr="004D0494">
        <w:t>späťvzatej</w:t>
      </w:r>
      <w:proofErr w:type="spellEnd"/>
      <w:r w:rsidRPr="004D0494">
        <w:t xml:space="preserve"> dokumentácie, a to formou vydania správy z</w:t>
      </w:r>
      <w:r>
        <w:t> </w:t>
      </w:r>
      <w:r w:rsidRPr="004D0494">
        <w:t>kontroly</w:t>
      </w:r>
      <w:r>
        <w:t xml:space="preserve">. </w:t>
      </w:r>
      <w:r w:rsidRPr="004D0494">
        <w:t>Ak prijímateľ opätovne predloží dokumentáciu na finančnú kontrolu, lehoty začínajú plynúť odznovu</w:t>
      </w:r>
      <w:r>
        <w:t>.</w:t>
      </w:r>
    </w:p>
    <w:p w14:paraId="78D80C3F" w14:textId="77777777" w:rsidR="00D12485" w:rsidRDefault="00D12485" w:rsidP="009A7849">
      <w:pPr>
        <w:numPr>
          <w:ilvl w:val="0"/>
          <w:numId w:val="25"/>
        </w:numPr>
        <w:spacing w:before="120" w:after="120"/>
        <w:ind w:left="426" w:hanging="426"/>
        <w:jc w:val="both"/>
      </w:pPr>
      <w:r>
        <w:t xml:space="preserve">V prípade osobného doručenia ponuky zo strany potenciálneho dodávateľa, </w:t>
      </w:r>
      <w:r>
        <w:br/>
        <w:t>je povinnosťou prijímateľa vydať uchádzačovi potvrdenie o prevzatí ponuky, ak o to potenciálny dodávateľ požiada.</w:t>
      </w:r>
    </w:p>
    <w:p w14:paraId="135AC24D" w14:textId="77777777" w:rsidR="00D12485" w:rsidRDefault="00D12485" w:rsidP="009A7849">
      <w:pPr>
        <w:numPr>
          <w:ilvl w:val="0"/>
          <w:numId w:val="25"/>
        </w:numPr>
        <w:spacing w:before="120" w:after="120"/>
        <w:ind w:left="426" w:hanging="426"/>
        <w:jc w:val="both"/>
      </w:pPr>
      <w:r>
        <w:t>Prijímateľ nemôže „umelo“ rozdeliť predmet zákazky na samostatné časti s cieľom vyhnúť sa použitiu postupov spojených so zadávaním zákaziek nad 100 000 eur.</w:t>
      </w:r>
    </w:p>
    <w:p w14:paraId="1BDCCFBA" w14:textId="77777777" w:rsidR="00D12485" w:rsidRPr="002B67B4" w:rsidRDefault="00D12485" w:rsidP="009A7849">
      <w:pPr>
        <w:pStyle w:val="Odsekzoznamu"/>
        <w:numPr>
          <w:ilvl w:val="0"/>
          <w:numId w:val="25"/>
        </w:numPr>
        <w:ind w:left="426" w:hanging="426"/>
      </w:pPr>
      <w:r w:rsidRPr="002B67B4">
        <w:t>Pri overovaní hospodárnosti výdavkov RO postupuje podľa Metodického pokynu CKO     č. 18 k overovaniu hospodárnosti výdavkov.</w:t>
      </w:r>
    </w:p>
    <w:p w14:paraId="0119DE8D" w14:textId="77777777" w:rsidR="00D12485" w:rsidRDefault="00D12485" w:rsidP="009A7849">
      <w:pPr>
        <w:numPr>
          <w:ilvl w:val="0"/>
          <w:numId w:val="25"/>
        </w:numPr>
        <w:spacing w:before="120" w:after="120"/>
        <w:ind w:left="426" w:hanging="426"/>
        <w:jc w:val="both"/>
      </w:pPr>
      <w:r>
        <w:t xml:space="preserve">V prípade zistenia porušení pravidiel a porušení postupov pri obstarávaní zákazky RO </w:t>
      </w:r>
      <w:r>
        <w:br/>
        <w:t>na základe analógie a proporcionality uplatní finančné opravy podľa Metodického pokynu CKO č. 5.</w:t>
      </w:r>
    </w:p>
    <w:p w14:paraId="587B81BE" w14:textId="77777777" w:rsidR="00D12485" w:rsidRDefault="00D12485" w:rsidP="00D12485">
      <w:pPr>
        <w:numPr>
          <w:ilvl w:val="0"/>
          <w:numId w:val="25"/>
        </w:numPr>
        <w:spacing w:before="120" w:after="120"/>
        <w:ind w:left="426" w:hanging="426"/>
        <w:jc w:val="both"/>
      </w:pPr>
      <w:r>
        <w:t>Pre účely tohto metodického výkladu sa pod pojmom „prijímateľ“ rozumie aj žiadateľ.</w:t>
      </w:r>
    </w:p>
    <w:p w14:paraId="152D2A8C" w14:textId="77777777" w:rsidR="00850467" w:rsidRPr="00850467" w:rsidRDefault="00850467" w:rsidP="00D12485">
      <w:pPr>
        <w:pStyle w:val="MPCKO2"/>
      </w:pPr>
      <w:bookmarkStart w:id="9" w:name="_Toc526861519"/>
      <w:r>
        <w:t>1.1</w:t>
      </w:r>
      <w:r w:rsidRPr="00850467">
        <w:t xml:space="preserve"> </w:t>
      </w:r>
      <w:bookmarkEnd w:id="7"/>
      <w:bookmarkEnd w:id="8"/>
      <w:r w:rsidR="00D12485">
        <w:t>Zákazky nad 100 000 eur</w:t>
      </w:r>
      <w:bookmarkEnd w:id="9"/>
    </w:p>
    <w:p w14:paraId="00C5F79B" w14:textId="77777777" w:rsidR="00D12485" w:rsidRDefault="00D12485" w:rsidP="009A7849">
      <w:pPr>
        <w:pStyle w:val="Odsekzoznamu"/>
        <w:numPr>
          <w:ilvl w:val="0"/>
          <w:numId w:val="31"/>
        </w:numPr>
        <w:spacing w:before="120" w:after="120"/>
        <w:ind w:left="426" w:hanging="426"/>
        <w:jc w:val="both"/>
      </w:pPr>
      <w:bookmarkStart w:id="10" w:name="_Toc404872048"/>
      <w:bookmarkStart w:id="11" w:name="_Toc404872123"/>
      <w:r>
        <w:t xml:space="preserve">Zákazky nad 100 000 eur na účely tejto kapitoly sú zákazky zadávané osobou, </w:t>
      </w:r>
      <w:r w:rsidRPr="00BC715E">
        <w:t>ktorej verejný obstarávateľ poskytne 50% a menej</w:t>
      </w:r>
      <w:r>
        <w:t xml:space="preserve"> finančných prostriedkov z NFP na tovary, stavebné práce alebo služby</w:t>
      </w:r>
      <w:r w:rsidRPr="0099707E">
        <w:t>.</w:t>
      </w:r>
      <w:r>
        <w:t xml:space="preserve">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45B8B85F" w14:textId="16081331" w:rsidR="00D12485" w:rsidRDefault="00D12485" w:rsidP="009A7849">
      <w:pPr>
        <w:numPr>
          <w:ilvl w:val="0"/>
          <w:numId w:val="31"/>
        </w:numPr>
        <w:spacing w:before="120" w:after="120"/>
        <w:ind w:left="426" w:hanging="426"/>
        <w:jc w:val="both"/>
      </w:pPr>
      <w: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w:t>
      </w:r>
      <w:proofErr w:type="spellStart"/>
      <w:r>
        <w:t>printscreen</w:t>
      </w:r>
      <w:proofErr w:type="spellEnd"/>
      <w:r>
        <w:t xml:space="preserve"> tej časti webového sídla, kde bola výzva na predkladanie ponúk zverejnená). Zadávanie tejto zákazky je realizované zverejnením výzvy na predkladanie ponúk, v rámci ktorej prijímateľ uvedie najmä </w:t>
      </w:r>
      <w:r w:rsidRPr="002768F6">
        <w:t xml:space="preserve">náležitosti podľa kapitoly 1.1, ods. 6. </w:t>
      </w:r>
    </w:p>
    <w:p w14:paraId="5A85DDCB" w14:textId="77777777" w:rsidR="00D12485" w:rsidRDefault="00D12485" w:rsidP="00044F3A">
      <w:pPr>
        <w:numPr>
          <w:ilvl w:val="0"/>
          <w:numId w:val="31"/>
        </w:numPr>
        <w:spacing w:before="120" w:after="120"/>
        <w:ind w:left="426" w:hanging="426"/>
        <w:jc w:val="both"/>
      </w:pPr>
      <w:r>
        <w:t xml:space="preserve">Prijímateľ je povinný v ten istý deň ako zverejní výzvu na predkladanie ponúk na svojom webovom sídle, zaslať informáciu o tomto zverejnení aj na osobitný mailový kontakt </w:t>
      </w:r>
      <w:hyperlink r:id="rId10" w:history="1">
        <w:r w:rsidRPr="008E1B96">
          <w:rPr>
            <w:rStyle w:val="Hypertextovprepojenie"/>
          </w:rPr>
          <w:t>zakazkycko@vlada.gov.sk</w:t>
        </w:r>
      </w:hyperlink>
      <w:r w:rsidRPr="00112646">
        <w:rPr>
          <w:i/>
        </w:rPr>
        <w:t>.</w:t>
      </w:r>
      <w:r>
        <w:t xml:space="preserve"> Táto informácia bude následne zverejnená na webovom sídle </w:t>
      </w:r>
      <w:hyperlink r:id="rId11" w:history="1">
        <w:r w:rsidRPr="00005FB1">
          <w:rPr>
            <w:rStyle w:val="Hypertextovprepojenie"/>
          </w:rPr>
          <w:t>www.partnerskadohoda.gov.sk</w:t>
        </w:r>
      </w:hyperlink>
      <w:r>
        <w:t xml:space="preserve"> </w:t>
      </w:r>
    </w:p>
    <w:p w14:paraId="5C9A8C69" w14:textId="77777777" w:rsidR="00D12485" w:rsidRDefault="00D12485" w:rsidP="00044F3A">
      <w:pPr>
        <w:numPr>
          <w:ilvl w:val="0"/>
          <w:numId w:val="31"/>
        </w:numPr>
        <w:spacing w:before="120" w:after="120"/>
        <w:ind w:left="426" w:hanging="426"/>
        <w:jc w:val="both"/>
      </w:pPr>
      <w:r>
        <w:lastRenderedPageBreak/>
        <w:t>Informácia o tomto zverejnení je tvorená štruktúrou údajov, ktoré je prijímateľ povinný dodržať, pričom ich popis tvorí prílohu tohto metodického výkladu</w:t>
      </w:r>
      <w:r w:rsidRPr="00112646">
        <w:t>.</w:t>
      </w:r>
      <w:r>
        <w:t xml:space="preserve"> Túto riadne vyplnenú prílohu zasiela prijímateľ v prílohe e-mailu na e-mailový kontakt uvedený v odseku 3 tejto kapitoly. </w:t>
      </w:r>
      <w:proofErr w:type="spellStart"/>
      <w:r>
        <w:t>Zverejňovateľ</w:t>
      </w:r>
      <w:proofErr w:type="spellEnd"/>
      <w:r>
        <w:t xml:space="preserve"> (Úrad vlády SR) zabezpečí zverejnenie na webovom sídle </w:t>
      </w:r>
      <w:hyperlink r:id="rId12" w:history="1">
        <w:r w:rsidRPr="00A72E08">
          <w:rPr>
            <w:rStyle w:val="Hypertextovprepojenie"/>
          </w:rPr>
          <w:t>www.partnerskadohoda.gov.sk</w:t>
        </w:r>
      </w:hyperlink>
      <w:r>
        <w:t xml:space="preserve">  v záložke „CKO”, „Zákazky osôb, ktorým</w:t>
      </w:r>
      <w:r w:rsidRPr="008602C8">
        <w:t xml:space="preserve"> verejný obstarávateľ poskytne 50% a menej finančných prostriedkov z </w:t>
      </w:r>
      <w:r>
        <w:t>NFP”, pričom zákazky budú zverejňované v členení na tovary, služby a stavebné práce a najnovšie zákazky budú zverejnené ako prvé v poradí.</w:t>
      </w:r>
    </w:p>
    <w:p w14:paraId="300985EA" w14:textId="77777777" w:rsidR="00D12485" w:rsidRDefault="00D12485" w:rsidP="00044F3A">
      <w:pPr>
        <w:numPr>
          <w:ilvl w:val="0"/>
          <w:numId w:val="31"/>
        </w:numPr>
        <w:spacing w:before="120" w:after="120"/>
        <w:ind w:left="426" w:hanging="426"/>
        <w:jc w:val="both"/>
      </w:pPr>
      <w:r>
        <w:t xml:space="preserve">CKO, ani </w:t>
      </w:r>
      <w:proofErr w:type="spellStart"/>
      <w:r>
        <w:t>zverejňovateľ</w:t>
      </w:r>
      <w:proofErr w:type="spellEnd"/>
      <w:r>
        <w:t xml:space="preserve"> nenesie zodpovednosť za údajovú presnosť takto predložených informácií a ani nevykonáva overenie týchto údajov. V prípade, že prijímateľ v rámci tejto štruktúry údajov poskytne nepresné, chybné alebo zavádzajúce informácie, ktoré nevedú                k spoľahlivému identifikovaniu predmetnej zákazky, je toto považované za nesplnenie oznamovacej povinnosti. Prijímateľ ale nenesie zodpovednosť za situáciu, keď dôjde                    k oneskorenému zverejneniu alebo informácia nebude zverejnená vôbec a to napriek tomu, že si splnil povinnosť riadne zverejnenej výzvy a informácie o zverejnení výzvy </w:t>
      </w:r>
      <w:r>
        <w:br/>
        <w:t xml:space="preserve">na predkladanie ponúk zaslal v zmysle určených podmienok (pozn. uvedené môže nastať napr. z technických dôvodov na strane </w:t>
      </w:r>
      <w:proofErr w:type="spellStart"/>
      <w:r>
        <w:t>zverejňovateľa</w:t>
      </w:r>
      <w:proofErr w:type="spellEnd"/>
      <w:r>
        <w:t xml:space="preserve"> informácií na webovom sídle </w:t>
      </w:r>
      <w:hyperlink r:id="rId13" w:history="1">
        <w:r w:rsidRPr="00A72E08">
          <w:rPr>
            <w:rStyle w:val="Hypertextovprepojenie"/>
          </w:rPr>
          <w:t>www.partnerskadohoda.gov.sk</w:t>
        </w:r>
      </w:hyperlink>
      <w:r>
        <w:t>). Z tohto dôvodu je dôležité, aby mal prijímateľ vždy archivovanú dokumentáciu o zaslaní tejto informácie.</w:t>
      </w:r>
    </w:p>
    <w:p w14:paraId="78633FD1" w14:textId="77777777" w:rsidR="00D12485" w:rsidRDefault="00D12485" w:rsidP="00044F3A">
      <w:pPr>
        <w:numPr>
          <w:ilvl w:val="0"/>
          <w:numId w:val="31"/>
        </w:numPr>
        <w:spacing w:before="120" w:after="120"/>
        <w:ind w:left="426" w:hanging="426"/>
        <w:jc w:val="both"/>
      </w:pPr>
      <w:r>
        <w:t xml:space="preserve">V prípade, že prijímateľ nedodrží povinnosť zaslania informácie na osobitný e-mailový kontakt </w:t>
      </w:r>
      <w:hyperlink r:id="rId14" w:history="1">
        <w:r w:rsidRPr="00A72E08">
          <w:rPr>
            <w:rStyle w:val="Hypertextovprepojenie"/>
          </w:rPr>
          <w:t>zakazkycko@vlada.gov.sk</w:t>
        </w:r>
      </w:hyperlink>
      <w:r>
        <w:t xml:space="preserve">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w:t>
      </w:r>
      <w:proofErr w:type="spellStart"/>
      <w:r>
        <w:t>zverejňovateľovi</w:t>
      </w:r>
      <w:proofErr w:type="spellEnd"/>
      <w:r>
        <w:t xml:space="preserve"> už má obsahovať túto predĺženú lehotu). Toto predĺženie sa musí rovnako vykonať aj v ostatných dokumentoch, ktoré prijímateľ vypracoval za účelom vyhlásenia zadávania zákazky, najmä vo výzve </w:t>
      </w:r>
      <w:r>
        <w:br/>
        <w:t xml:space="preserve">na predkladanie ponúk zverejnenej na webovom sídle prijímateľa alebo inom vhodnom webovom sídle. V prípade predlžovania lehoty na prekladanie ponúk je prijímateľ povinný toto predĺženie preukázateľne oznámiť všetkým osloveným potenciálnym dodávateľom. Takto vykonaný postup je považovaný za splnenie oznamovacej povinnosti v zmysle tohto metodického výkladu. </w:t>
      </w:r>
    </w:p>
    <w:p w14:paraId="12941EA7" w14:textId="73D5903B" w:rsidR="00D12485" w:rsidRDefault="00D12485" w:rsidP="00044F3A">
      <w:pPr>
        <w:numPr>
          <w:ilvl w:val="0"/>
          <w:numId w:val="31"/>
        </w:numPr>
        <w:spacing w:before="120" w:after="120"/>
        <w:ind w:left="426" w:hanging="426"/>
        <w:jc w:val="both"/>
      </w:pPr>
      <w:r>
        <w:t xml:space="preserve">Prijímateľ je súčasne so zverejnením výzvy na predkladanie ponúk a jej zaslaním </w:t>
      </w:r>
      <w:r w:rsidR="00DA2CDE">
        <w:br/>
      </w:r>
      <w:r>
        <w:t xml:space="preserve">na zverejnenie, zároveň povinný zaslať túto výzvu minimálne </w:t>
      </w:r>
      <w:r w:rsidRPr="00664D27">
        <w:t>trom</w:t>
      </w:r>
      <w:r>
        <w:t xml:space="preserve"> vybraným potenciálnym dodávateľom. </w:t>
      </w:r>
      <w:r w:rsidRPr="006C640E">
        <w:t xml:space="preserve">Uvedené úkony musia byť realizované v rovnaký deň. Oslovovaní </w:t>
      </w:r>
      <w:r>
        <w:t>potenciálni dodávatelia</w:t>
      </w:r>
      <w:r w:rsidRPr="006C640E">
        <w:t xml:space="preserve"> musia byť subjekty, ktoré sú </w:t>
      </w:r>
      <w:r w:rsidRPr="009C0CFE">
        <w:rPr>
          <w:u w:val="single"/>
        </w:rPr>
        <w:t>v čase zadávania a realizácie zákazky</w:t>
      </w:r>
      <w:r w:rsidRPr="009C0CFE">
        <w:t xml:space="preserve"> </w:t>
      </w:r>
      <w:r w:rsidRPr="006C640E">
        <w:t xml:space="preserve">oprávnené </w:t>
      </w:r>
      <w:bookmarkStart w:id="12" w:name="_Hlk506762999"/>
      <w:r w:rsidRPr="006C640E">
        <w:t xml:space="preserve">dodávať tovar, uskutočňovať stavebné práce alebo poskytovať služby v rozsahu predmetu zákazky </w:t>
      </w:r>
      <w:bookmarkEnd w:id="12"/>
      <w:r w:rsidRPr="006C640E">
        <w:t xml:space="preserve">(identifikácia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w:t>
      </w:r>
      <w:bookmarkStart w:id="13" w:name="_Hlk506763662"/>
      <w:r>
        <w:fldChar w:fldCharType="begin"/>
      </w:r>
      <w:r>
        <w:instrText xml:space="preserve"> HYPERLINK "mailto:</w:instrText>
      </w:r>
      <w:r w:rsidRPr="006C640E">
        <w:instrText>zakazkycko</w:instrText>
      </w:r>
      <w:r w:rsidRPr="00305B75">
        <w:rPr>
          <w:lang w:val="en-US"/>
        </w:rPr>
        <w:instrText>@</w:instrText>
      </w:r>
      <w:r w:rsidRPr="006C640E">
        <w:instrText>vlada.gov.sk</w:instrText>
      </w:r>
      <w:r>
        <w:instrText xml:space="preserve">" </w:instrText>
      </w:r>
      <w:r>
        <w:fldChar w:fldCharType="separate"/>
      </w:r>
      <w:r w:rsidRPr="00A72E08">
        <w:rPr>
          <w:rStyle w:val="Hypertextovprepojenie"/>
        </w:rPr>
        <w:t>zakazkycko</w:t>
      </w:r>
      <w:r w:rsidRPr="00305B75">
        <w:rPr>
          <w:rStyle w:val="Hypertextovprepojenie"/>
          <w:lang w:val="en-US"/>
        </w:rPr>
        <w:t>@</w:t>
      </w:r>
      <w:r w:rsidRPr="00A72E08">
        <w:rPr>
          <w:rStyle w:val="Hypertextovprepojenie"/>
        </w:rPr>
        <w:t>vlada.gov.sk</w:t>
      </w:r>
      <w:bookmarkEnd w:id="13"/>
      <w:r>
        <w:fldChar w:fldCharType="end"/>
      </w:r>
      <w:r>
        <w:t>,</w:t>
      </w:r>
      <w:r w:rsidRPr="006C640E">
        <w:t xml:space="preserve"> vo veci predĺženia lehoty na predkladanie ponúk postupuje obdobne ako je uvedené</w:t>
      </w:r>
      <w:r>
        <w:t xml:space="preserve"> v odseku 6</w:t>
      </w:r>
      <w:r w:rsidRPr="006C640E">
        <w:t xml:space="preserve"> tejto kapitoly. Oslovenie minimálne troch </w:t>
      </w:r>
      <w:r>
        <w:t>potenciálnych dodávateľov</w:t>
      </w:r>
      <w:r w:rsidRPr="006C640E">
        <w:t xml:space="preserve">, ktorí sú oprávnení dodávať tovary, uskutočňovať stavebné práce alebo poskytovať služby v rozsahu predmetu zákazky neznamená, že prijímateľ musí </w:t>
      </w:r>
      <w:r w:rsidRPr="006C640E">
        <w:lastRenderedPageBreak/>
        <w:t xml:space="preserve">v lehote na predkladanie ponúk </w:t>
      </w:r>
      <w:proofErr w:type="spellStart"/>
      <w:r w:rsidRPr="006C640E">
        <w:t>obdržať</w:t>
      </w:r>
      <w:proofErr w:type="spellEnd"/>
      <w:r w:rsidRPr="006C640E">
        <w:t xml:space="preserve"> ponuky </w:t>
      </w:r>
      <w:r>
        <w:t>od potenciálnych dodávateľov</w:t>
      </w:r>
      <w:r w:rsidRPr="006C640E">
        <w:t xml:space="preserve">, ktorých priamo oslovil. Zákazka </w:t>
      </w:r>
      <w:r>
        <w:t>m</w:t>
      </w:r>
      <w:r w:rsidRPr="006C640E">
        <w:t xml:space="preserve">ôže byť realizovaná aj v prípade predloženia 1 alebo 2 ponúk. </w:t>
      </w:r>
    </w:p>
    <w:p w14:paraId="5768AB88" w14:textId="77777777" w:rsidR="00D12485" w:rsidRPr="00305B75" w:rsidRDefault="00D12485" w:rsidP="00044F3A">
      <w:pPr>
        <w:numPr>
          <w:ilvl w:val="0"/>
          <w:numId w:val="31"/>
        </w:numPr>
        <w:spacing w:before="120" w:after="120"/>
        <w:ind w:left="426" w:hanging="426"/>
        <w:jc w:val="both"/>
      </w:pPr>
      <w:r>
        <w:t xml:space="preserve">Vo výnimočných prípadoch, kedy ide o jedinečný predmet zákazky, môže prijímateľ osloviť aj menej ako troch potenciálnych dodávateľov, pričom táto výnimka musí byť </w:t>
      </w:r>
      <w:r>
        <w:br/>
        <w:t xml:space="preserve">zo strany prijímateľa riadne zdôvodnená a podložená ešte pred vyhlásením zákazky </w:t>
      </w:r>
      <w:r w:rsidRPr="00005D52">
        <w:t xml:space="preserve">a dôkazné bremeno preukázania skutočnosti, že na relevantnom trhu neexistuje viac ako 1 alebo 2 dodávatelia znáša prijímateľ. </w:t>
      </w:r>
      <w:r>
        <w:t xml:space="preserve">Odôvodnenie k jedinečnému predmetu zákazky musí byť súčasťou dokumentácie k zákazke. V prípade odvolania sa na jedinečný predmet zákazky odporúčame využiť pre účely preukázania hospodárnosti inštitút odborného alebo znaleckého posudku. </w:t>
      </w:r>
      <w:r w:rsidRPr="00005D52">
        <w:t xml:space="preserve">Aj v tomto výnimočnom prípade je však povinnosťou prijímateľa zverejniť zákazku na webovom sídle a zaslať informáciu o tomto zverejnení na osobitný mailový kontakt </w:t>
      </w:r>
      <w:hyperlink r:id="rId15" w:history="1">
        <w:r w:rsidRPr="00005D52">
          <w:rPr>
            <w:rStyle w:val="Hypertextovprepojenie"/>
          </w:rPr>
          <w:t>zakazkycko</w:t>
        </w:r>
        <w:r w:rsidRPr="00305B75">
          <w:rPr>
            <w:rStyle w:val="Hypertextovprepojenie"/>
            <w:lang w:val="en-US"/>
          </w:rPr>
          <w:t>@</w:t>
        </w:r>
        <w:r w:rsidRPr="00305B75">
          <w:rPr>
            <w:rStyle w:val="Hypertextovprepojenie"/>
            <w:lang w:val="en-GB"/>
          </w:rPr>
          <w:t>vlada.gov.sk</w:t>
        </w:r>
      </w:hyperlink>
      <w:r w:rsidRPr="00005D52">
        <w:t>.</w:t>
      </w:r>
      <w:r w:rsidRPr="00305B75">
        <w:rPr>
          <w:lang w:val="en-GB"/>
        </w:rPr>
        <w:t xml:space="preserve"> </w:t>
      </w:r>
    </w:p>
    <w:p w14:paraId="65896974" w14:textId="77777777" w:rsidR="00D12485" w:rsidRDefault="00D12485" w:rsidP="008D75F9">
      <w:pPr>
        <w:numPr>
          <w:ilvl w:val="0"/>
          <w:numId w:val="31"/>
        </w:numPr>
        <w:spacing w:before="120" w:after="120"/>
        <w:ind w:left="426" w:hanging="426"/>
        <w:jc w:val="both"/>
      </w:pPr>
      <w:r>
        <w:t xml:space="preserve">Ak prijímateľovi nebude predložená žiadna ponuka a splnil všetky postupy uvedené v predchádzajúcich odsekoch, je oprávnený vyzvať na rokovanie min. 3 potenciálnych dodávateľov, s ktorými rokuje o zadaní zákazky.  Predmetom týchto rokovaní nemôže byť zúženie predmetu zákazky, úprava podmienok účasti, podmienok realizácie zákazky ani kritérií na vyhodnotenie ponúk uvedených vo výzve na predkladanie ponúk. Z rokovania je prijímateľ povinný vyhotoviť zápis,  ako aj zdôvodniť výber záujemcu alebo záujemcov, ktorí boli vyzvaní na rokovanie. Prijímateľ je oprávnený vyzvať na rokovanie </w:t>
      </w:r>
      <w:r w:rsidRPr="00D2615C">
        <w:t xml:space="preserve">aj menej ako troch </w:t>
      </w:r>
      <w:r>
        <w:t>potenciálnych dodávateľov</w:t>
      </w:r>
      <w:r w:rsidRPr="00D2615C">
        <w:t>, pričom táto výnimka musí byť zo strany prijímateľa riadne zdôvodnená a</w:t>
      </w:r>
      <w:r>
        <w:t xml:space="preserve"> prijímateľ nesie </w:t>
      </w:r>
      <w:r w:rsidRPr="00D2615C">
        <w:t xml:space="preserve">dôkazné bremeno preukázania skutočnosti, že na relevantnom trhu neexistuje viac ako 1 alebo 2 dodávatelia. Odôvodnenie </w:t>
      </w:r>
      <w:r>
        <w:t xml:space="preserve">tejto skutočnosti </w:t>
      </w:r>
      <w:r w:rsidRPr="00D2615C">
        <w:t>musí byť súčasťou dokumentácie k zákazke.</w:t>
      </w:r>
    </w:p>
    <w:p w14:paraId="639F7A4E" w14:textId="77777777" w:rsidR="00D12485" w:rsidRDefault="00D12485" w:rsidP="008D75F9">
      <w:pPr>
        <w:numPr>
          <w:ilvl w:val="0"/>
          <w:numId w:val="31"/>
        </w:numPr>
        <w:spacing w:before="120" w:after="120"/>
        <w:ind w:left="426" w:hanging="426"/>
        <w:jc w:val="both"/>
      </w:pPr>
      <w:r>
        <w:t>Celý postup prijímateľa pri zadávaní zákazky bude zhrnutý v zázname z prieskumu trhu, ktorého minimálne náležitosti sú nasledovné:</w:t>
      </w:r>
    </w:p>
    <w:p w14:paraId="7823E324"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identifikácia prijímateľa, </w:t>
      </w:r>
    </w:p>
    <w:p w14:paraId="13CDCFFF"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názov zákazky, </w:t>
      </w:r>
    </w:p>
    <w:p w14:paraId="59B11D1C"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predmet zákazky, </w:t>
      </w:r>
    </w:p>
    <w:p w14:paraId="7AB6B334"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určenie kritéria/kritérií</w:t>
      </w:r>
      <w:r>
        <w:t xml:space="preserve"> na vyhodnotenie</w:t>
      </w:r>
      <w:r w:rsidRPr="00005D52">
        <w:t xml:space="preserve"> ponúk, </w:t>
      </w:r>
    </w:p>
    <w:p w14:paraId="4E05D1A5"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spôsob vykonania prieskumu a identifikovanie podkladov, na základe ktorých boli ponuky vyhodnocované, </w:t>
      </w:r>
    </w:p>
    <w:p w14:paraId="5048753E"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zoznam oslovených </w:t>
      </w:r>
      <w:r>
        <w:t>potenciálnych dodávateľov</w:t>
      </w:r>
      <w:r w:rsidRPr="00005D52" w:rsidDel="009F4C07">
        <w:t xml:space="preserve"> </w:t>
      </w:r>
      <w:r w:rsidRPr="00005D52">
        <w:t xml:space="preserve">a dátum ich oslovenia, </w:t>
      </w:r>
    </w:p>
    <w:p w14:paraId="06C69E40"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informácia o skutočnosti, či sú oslovení </w:t>
      </w:r>
      <w:r>
        <w:t>potenciálni dodávatelia</w:t>
      </w:r>
      <w:r w:rsidRPr="00005D52">
        <w:t xml:space="preserve"> oprávnení dodávať tovary, uskutočňovať stavebné práce alebo poskytovať služby v rozsahu predmetu zákazky, </w:t>
      </w:r>
    </w:p>
    <w:p w14:paraId="0CB19EBF"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dátum vyhodno</w:t>
      </w:r>
      <w:r>
        <w:t>tenia</w:t>
      </w:r>
      <w:r w:rsidRPr="00005D52">
        <w:t xml:space="preserve"> ponúk, </w:t>
      </w:r>
    </w:p>
    <w:p w14:paraId="1523C049"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zoznam </w:t>
      </w:r>
      <w:r>
        <w:t>potenciálnych dodávateľov</w:t>
      </w:r>
      <w:r w:rsidRPr="00005D52">
        <w:t xml:space="preserve">, ktorí predložili ponuku, </w:t>
      </w:r>
    </w:p>
    <w:p w14:paraId="17945B28"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identifikácia a vyhodnotenie splnenia jednotlivých  podmienok účasti a návrhov </w:t>
      </w:r>
      <w:r>
        <w:br/>
      </w:r>
      <w:r w:rsidRPr="00005D52">
        <w:t xml:space="preserve">na plnenie kritérií, </w:t>
      </w:r>
    </w:p>
    <w:p w14:paraId="3179CE92"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identifikácia úspešného dodávateľa/poskytovateľa/zhotoviteľa, </w:t>
      </w:r>
    </w:p>
    <w:p w14:paraId="28F683FE" w14:textId="77777777" w:rsidR="00D12485" w:rsidRPr="00005D52" w:rsidRDefault="00D12485" w:rsidP="00D12485">
      <w:pPr>
        <w:numPr>
          <w:ilvl w:val="0"/>
          <w:numId w:val="32"/>
        </w:numPr>
        <w:autoSpaceDE w:val="0"/>
        <w:autoSpaceDN w:val="0"/>
        <w:adjustRightInd w:val="0"/>
        <w:spacing w:before="120" w:after="120"/>
        <w:ind w:left="851" w:hanging="425"/>
        <w:jc w:val="both"/>
      </w:pPr>
      <w:r w:rsidRPr="00005D52">
        <w:t xml:space="preserve">konečná zmluvná cena ponuky úspešného uchádzača (uviesť cenu s DPH aj </w:t>
      </w:r>
      <w:r>
        <w:br/>
      </w:r>
      <w:r w:rsidRPr="00005D52">
        <w:t>bez DPH</w:t>
      </w:r>
      <w:r>
        <w:t>;</w:t>
      </w:r>
      <w:r w:rsidRPr="00F62E04">
        <w:t xml:space="preserve"> v prípade, že dodávateľ nie je platca DPH, uvedie sa konečná cena</w:t>
      </w:r>
      <w:r w:rsidRPr="00005D52">
        <w:t xml:space="preserve">), </w:t>
      </w:r>
    </w:p>
    <w:p w14:paraId="14326FA8" w14:textId="77777777" w:rsidR="00D12485" w:rsidRPr="00005D52" w:rsidRDefault="00D12485" w:rsidP="00D12485">
      <w:pPr>
        <w:numPr>
          <w:ilvl w:val="0"/>
          <w:numId w:val="32"/>
        </w:numPr>
        <w:autoSpaceDE w:val="0"/>
        <w:autoSpaceDN w:val="0"/>
        <w:adjustRightInd w:val="0"/>
        <w:spacing w:before="120" w:after="120"/>
        <w:ind w:left="851" w:hanging="425"/>
        <w:jc w:val="both"/>
      </w:pPr>
      <w:r>
        <w:lastRenderedPageBreak/>
        <w:t xml:space="preserve">typ a </w:t>
      </w:r>
      <w:r w:rsidRPr="00005D52">
        <w:t>podmienky realizácie zmluvy (najmä lehota plnenia a miesto realizácie),</w:t>
      </w:r>
    </w:p>
    <w:p w14:paraId="6DF24556" w14:textId="77777777" w:rsidR="00D12485" w:rsidRDefault="00D12485" w:rsidP="00D12485">
      <w:pPr>
        <w:numPr>
          <w:ilvl w:val="0"/>
          <w:numId w:val="32"/>
        </w:numPr>
        <w:autoSpaceDE w:val="0"/>
        <w:autoSpaceDN w:val="0"/>
        <w:adjustRightInd w:val="0"/>
        <w:spacing w:before="120" w:after="120"/>
        <w:ind w:left="851" w:hanging="425"/>
        <w:jc w:val="both"/>
      </w:pPr>
      <w:r w:rsidRPr="00005D52">
        <w:t>meno, funkcia, dátum a podpis zodpovednej osoby</w:t>
      </w:r>
      <w:r>
        <w:t>/osôb, ktoré vykonali</w:t>
      </w:r>
      <w:r w:rsidRPr="00005D52">
        <w:t xml:space="preserve"> prieskum.</w:t>
      </w:r>
    </w:p>
    <w:p w14:paraId="767A69EB" w14:textId="1EDB0A1C" w:rsidR="00D12485" w:rsidRDefault="00D12485" w:rsidP="008D75F9">
      <w:pPr>
        <w:numPr>
          <w:ilvl w:val="0"/>
          <w:numId w:val="31"/>
        </w:numPr>
        <w:spacing w:before="120" w:after="120"/>
        <w:ind w:left="426" w:hanging="426"/>
      </w:pPr>
      <w:r w:rsidRPr="00D12485">
        <w:t>Záznam z prieskumu trhu musí byť zverejnený na webovom sídle prijímateľa alebo inom vhodnom webovom sídle do 5 pracovných dní od dátumu vyhodnotenia ponúk.</w:t>
      </w:r>
    </w:p>
    <w:p w14:paraId="513E5D66" w14:textId="77777777" w:rsidR="00850467" w:rsidRPr="009522DC" w:rsidRDefault="00D12485" w:rsidP="000549A1">
      <w:pPr>
        <w:pStyle w:val="MPCKO2"/>
        <w:numPr>
          <w:ilvl w:val="1"/>
          <w:numId w:val="33"/>
        </w:numPr>
      </w:pPr>
      <w:bookmarkStart w:id="14" w:name="_Toc453234037"/>
      <w:bookmarkStart w:id="15" w:name="_Toc501630089"/>
      <w:bookmarkStart w:id="16" w:name="_Toc526861520"/>
      <w:bookmarkEnd w:id="10"/>
      <w:bookmarkEnd w:id="11"/>
      <w:r w:rsidRPr="009522DC">
        <w:t>Zákazky do 100 000 eur</w:t>
      </w:r>
      <w:bookmarkEnd w:id="14"/>
      <w:bookmarkEnd w:id="15"/>
      <w:bookmarkEnd w:id="16"/>
    </w:p>
    <w:p w14:paraId="6091FABA" w14:textId="77777777" w:rsidR="00D12485" w:rsidRDefault="00D12485" w:rsidP="00D12485">
      <w:pPr>
        <w:numPr>
          <w:ilvl w:val="0"/>
          <w:numId w:val="34"/>
        </w:numPr>
        <w:spacing w:before="120" w:after="120"/>
        <w:ind w:left="426" w:hanging="426"/>
        <w:jc w:val="both"/>
      </w:pPr>
      <w:bookmarkStart w:id="17" w:name="_Toc404872124"/>
      <w:r>
        <w:t>Pri zadávaní zákaziek do 100 000 eur je p</w:t>
      </w:r>
      <w:r w:rsidRPr="00305B75">
        <w:t xml:space="preserve">rijímateľ </w:t>
      </w:r>
      <w:r>
        <w:t xml:space="preserve">povinný zaslať </w:t>
      </w:r>
      <w:r w:rsidRPr="00305B75">
        <w:t xml:space="preserve">výzvu </w:t>
      </w:r>
      <w:r>
        <w:t xml:space="preserve">na predkladanie ponúk </w:t>
      </w:r>
      <w:r w:rsidRPr="00305B75">
        <w:t xml:space="preserve">minimálne trom vybraným </w:t>
      </w:r>
      <w:r>
        <w:t>potenciálnym dodávateľom</w:t>
      </w:r>
      <w:r w:rsidRPr="00305B75">
        <w:t xml:space="preserve">. Oslovovaní </w:t>
      </w:r>
      <w:r>
        <w:t>potenciálni dodávatelia</w:t>
      </w:r>
      <w:r w:rsidRPr="00305B75" w:rsidDel="009F4C07">
        <w:t xml:space="preserve"> </w:t>
      </w:r>
      <w:r w:rsidRPr="00305B75">
        <w:t xml:space="preserve">musia byť subjekty, ktoré sú </w:t>
      </w:r>
      <w:r w:rsidRPr="009C0CFE">
        <w:rPr>
          <w:u w:val="single"/>
        </w:rPr>
        <w:t>v čase zadávania a realizácie zákazky</w:t>
      </w:r>
      <w:r w:rsidRPr="009C0CFE">
        <w:t xml:space="preserve"> </w:t>
      </w:r>
      <w:r w:rsidRPr="00305B75">
        <w:t xml:space="preserve">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w:t>
      </w:r>
      <w:r w:rsidRPr="001F073C">
        <w:t xml:space="preserve">Minimálna lehota </w:t>
      </w:r>
      <w:r>
        <w:br/>
      </w:r>
      <w:r w:rsidRPr="001F073C">
        <w:t xml:space="preserve">na predkladanie ponúk je 7 pracovných dní odo dňa </w:t>
      </w:r>
      <w:r>
        <w:t>oslovenia</w:t>
      </w:r>
      <w:r w:rsidRPr="00305B75">
        <w:t xml:space="preserve"> minimálne troch </w:t>
      </w:r>
      <w:r>
        <w:t xml:space="preserve">potenciálnych dodávateľov. </w:t>
      </w:r>
    </w:p>
    <w:p w14:paraId="5B4CA841" w14:textId="77777777" w:rsidR="00D12485" w:rsidRDefault="00D12485" w:rsidP="00D12485">
      <w:pPr>
        <w:numPr>
          <w:ilvl w:val="0"/>
          <w:numId w:val="34"/>
        </w:numPr>
        <w:spacing w:before="120" w:after="120"/>
        <w:ind w:left="426" w:hanging="426"/>
        <w:jc w:val="both"/>
      </w:pPr>
      <w: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službu, tovar v rozsahu predmetu zákazky (identifikácia prebieha najmä cez informácie verejne uvedené obchodnom registri alebo živnostenskom registri).</w:t>
      </w:r>
    </w:p>
    <w:p w14:paraId="26DFBB07" w14:textId="77777777" w:rsidR="00D12485" w:rsidRDefault="00D12485" w:rsidP="00D12485">
      <w:pPr>
        <w:numPr>
          <w:ilvl w:val="0"/>
          <w:numId w:val="34"/>
        </w:numPr>
        <w:spacing w:before="120" w:after="120"/>
        <w:ind w:left="426" w:hanging="426"/>
        <w:jc w:val="both"/>
      </w:pPr>
      <w:r>
        <w:t xml:space="preserve">Výber úspešného dodávateľa prebieha na základe vyhodnotenia informácií </w:t>
      </w:r>
      <w:r>
        <w:br/>
        <w:t xml:space="preserve">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w:t>
      </w:r>
      <w:r w:rsidRPr="009E1EFB">
        <w:t>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w:t>
      </w:r>
    </w:p>
    <w:p w14:paraId="7016C738" w14:textId="77777777" w:rsidR="00D12485" w:rsidRDefault="00D12485" w:rsidP="00D12485">
      <w:pPr>
        <w:numPr>
          <w:ilvl w:val="0"/>
          <w:numId w:val="34"/>
        </w:numPr>
        <w:spacing w:before="120" w:after="120"/>
        <w:ind w:left="426" w:hanging="426"/>
        <w:jc w:val="both"/>
      </w:pPr>
      <w:r w:rsidRPr="00EB05F0">
        <w:t>Ak prijímateľ</w:t>
      </w:r>
      <w:r>
        <w:t xml:space="preserve"> oslovil na základe výzvy na predkladanie ponúk minimálne troch potenciálnych dodávateľov a v stanovenej lehote na predkladanie ponúk</w:t>
      </w:r>
      <w:r w:rsidRPr="00EB05F0">
        <w:t xml:space="preserve"> neb</w:t>
      </w:r>
      <w:r>
        <w:t>ola</w:t>
      </w:r>
      <w:r w:rsidRPr="00EB05F0">
        <w:t xml:space="preserve"> predložená žiadna ponuka, je oprávnený vyzvať na rokovanie jedného alebo viacerých </w:t>
      </w:r>
      <w:r>
        <w:t>potenciálnych dodávateľov</w:t>
      </w:r>
      <w:r w:rsidRPr="00EB05F0">
        <w:t>, s kt</w:t>
      </w:r>
      <w:r>
        <w:t xml:space="preserve">orými rokuje o zadaní zákazky. </w:t>
      </w:r>
      <w:r w:rsidRPr="00EB05F0">
        <w:t>Predmetom týchto rokovaní nemô</w:t>
      </w:r>
      <w:r>
        <w:t>že byť zúženie predmetu zákazky alebo iná</w:t>
      </w:r>
      <w:r w:rsidRPr="00EB05F0">
        <w:t xml:space="preserve"> úprava podmienok realizácie </w:t>
      </w:r>
      <w:r>
        <w:t>zákazky</w:t>
      </w:r>
      <w:r w:rsidRPr="00EB05F0">
        <w:t xml:space="preserve"> ani </w:t>
      </w:r>
      <w:r>
        <w:t xml:space="preserve">úprava </w:t>
      </w:r>
      <w:r w:rsidRPr="00EB05F0">
        <w:t>kritérií na vyhodnotenie ponúk. Z rokovania je prijímateľ povinný vyhotoviť zápis</w:t>
      </w:r>
      <w:r>
        <w:t>,</w:t>
      </w:r>
      <w:r w:rsidRPr="00EB05F0">
        <w:t xml:space="preserve"> ako aj </w:t>
      </w:r>
      <w:r w:rsidRPr="00EB05F0">
        <w:lastRenderedPageBreak/>
        <w:t xml:space="preserve">zdôvodniť výber záujemcu alebo záujemcov, ktorí boli vyzvaní </w:t>
      </w:r>
      <w:r>
        <w:br/>
      </w:r>
      <w:r w:rsidRPr="00EB05F0">
        <w:t xml:space="preserve">na rokovanie. </w:t>
      </w:r>
    </w:p>
    <w:p w14:paraId="34E59AB8" w14:textId="77777777" w:rsidR="00D12485" w:rsidRDefault="00D12485" w:rsidP="00D12485">
      <w:pPr>
        <w:numPr>
          <w:ilvl w:val="0"/>
          <w:numId w:val="34"/>
        </w:numPr>
        <w:spacing w:before="120" w:after="120"/>
        <w:ind w:left="426" w:hanging="426"/>
        <w:jc w:val="both"/>
      </w:pPr>
      <w:r>
        <w:t>Pri zákazkách do 100 000 eur nie je prijímateľ povinný zverejňovať zadávanie takejto zákazky na svojom webovom sídle. Týmto nie je dotknutá povinnosť prijímateľa dodržať pri obstarávaní takejto zákazky základné princípy a ostatné povinnosti uvedené v kapitole 1.1 „</w:t>
      </w:r>
      <w:r w:rsidRPr="001F073C">
        <w:t>Pravidlá obstarávania zákaziek zadávaných osobou, ktorej poskytne verejný obstarávateľ 50% a menej finančných prostriedkov z</w:t>
      </w:r>
      <w:r>
        <w:t> NFP“.</w:t>
      </w:r>
    </w:p>
    <w:p w14:paraId="676D438F" w14:textId="77777777" w:rsidR="00D12485" w:rsidRDefault="00D12485" w:rsidP="00D12485">
      <w:pPr>
        <w:numPr>
          <w:ilvl w:val="0"/>
          <w:numId w:val="34"/>
        </w:numPr>
        <w:spacing w:before="120" w:after="120"/>
        <w:ind w:left="426" w:hanging="426"/>
        <w:jc w:val="both"/>
      </w:pPr>
      <w:r>
        <w:t xml:space="preserve">Náležitosti záznamu z prieskumu trhu sú najmä: </w:t>
      </w:r>
    </w:p>
    <w:p w14:paraId="65C5A00F" w14:textId="07575805" w:rsidR="00D12485" w:rsidRDefault="00D12485" w:rsidP="006C3BF1">
      <w:pPr>
        <w:pStyle w:val="Odsekzoznamu"/>
        <w:numPr>
          <w:ilvl w:val="2"/>
          <w:numId w:val="41"/>
        </w:numPr>
        <w:spacing w:before="120" w:after="120"/>
        <w:ind w:left="850" w:hanging="425"/>
        <w:contextualSpacing w:val="0"/>
        <w:jc w:val="both"/>
      </w:pPr>
      <w:r>
        <w:t xml:space="preserve">identifikácia prijímateľa, </w:t>
      </w:r>
    </w:p>
    <w:p w14:paraId="699A5ADB" w14:textId="0D7EC44D" w:rsidR="00D12485" w:rsidRDefault="00D12485" w:rsidP="006C3BF1">
      <w:pPr>
        <w:pStyle w:val="Odsekzoznamu"/>
        <w:numPr>
          <w:ilvl w:val="2"/>
          <w:numId w:val="41"/>
        </w:numPr>
        <w:spacing w:before="120" w:after="120"/>
        <w:ind w:left="850" w:hanging="425"/>
        <w:contextualSpacing w:val="0"/>
        <w:jc w:val="both"/>
      </w:pPr>
      <w:r>
        <w:t xml:space="preserve">názov zákazky, </w:t>
      </w:r>
    </w:p>
    <w:p w14:paraId="619C639D" w14:textId="4FF3B85F" w:rsidR="00D12485" w:rsidRDefault="00D12485" w:rsidP="006C3BF1">
      <w:pPr>
        <w:pStyle w:val="Odsekzoznamu"/>
        <w:numPr>
          <w:ilvl w:val="2"/>
          <w:numId w:val="41"/>
        </w:numPr>
        <w:spacing w:before="120" w:after="120"/>
        <w:ind w:left="850" w:hanging="425"/>
        <w:contextualSpacing w:val="0"/>
        <w:jc w:val="both"/>
      </w:pPr>
      <w:r>
        <w:t xml:space="preserve">predmet zákazky, </w:t>
      </w:r>
    </w:p>
    <w:p w14:paraId="47A678FE" w14:textId="215EEF93" w:rsidR="00D12485" w:rsidRDefault="00D12485" w:rsidP="006C3BF1">
      <w:pPr>
        <w:pStyle w:val="Odsekzoznamu"/>
        <w:numPr>
          <w:ilvl w:val="2"/>
          <w:numId w:val="41"/>
        </w:numPr>
        <w:spacing w:before="120" w:after="120"/>
        <w:ind w:left="850" w:hanging="425"/>
        <w:contextualSpacing w:val="0"/>
        <w:jc w:val="both"/>
      </w:pPr>
      <w:r>
        <w:t xml:space="preserve">určenie kritéria/kritérií na vyhodnotenie ponúk, </w:t>
      </w:r>
    </w:p>
    <w:p w14:paraId="587C84E2" w14:textId="4DB7E93A" w:rsidR="00D12485" w:rsidRDefault="00D12485" w:rsidP="006C3BF1">
      <w:pPr>
        <w:pStyle w:val="Odsekzoznamu"/>
        <w:numPr>
          <w:ilvl w:val="2"/>
          <w:numId w:val="41"/>
        </w:numPr>
        <w:spacing w:before="120" w:after="120"/>
        <w:ind w:left="850" w:hanging="425"/>
        <w:contextualSpacing w:val="0"/>
        <w:jc w:val="both"/>
      </w:pPr>
      <w:r>
        <w:t xml:space="preserve">spôsob vykonania prieskumu a identifikovanie podkladov, na základe ktorých boli ponuky vyhodnocované, </w:t>
      </w:r>
    </w:p>
    <w:p w14:paraId="3C02BF6C" w14:textId="1A8CDFDF" w:rsidR="00D12485" w:rsidRDefault="00D12485" w:rsidP="006C3BF1">
      <w:pPr>
        <w:pStyle w:val="Odsekzoznamu"/>
        <w:numPr>
          <w:ilvl w:val="2"/>
          <w:numId w:val="41"/>
        </w:numPr>
        <w:spacing w:before="120" w:after="120"/>
        <w:ind w:left="850" w:hanging="425"/>
        <w:contextualSpacing w:val="0"/>
        <w:jc w:val="both"/>
      </w:pPr>
      <w:r>
        <w:t>zoznam oslovených potenciálnych dodávateľov</w:t>
      </w:r>
      <w:r w:rsidDel="009F4C07">
        <w:t xml:space="preserve"> </w:t>
      </w:r>
      <w:r>
        <w:t>a dátum ich oslovenia, resp. ich identifikovania,</w:t>
      </w:r>
    </w:p>
    <w:p w14:paraId="50766C99" w14:textId="08039E27" w:rsidR="00D12485" w:rsidRDefault="00D12485" w:rsidP="006C3BF1">
      <w:pPr>
        <w:pStyle w:val="Odsekzoznamu"/>
        <w:numPr>
          <w:ilvl w:val="2"/>
          <w:numId w:val="41"/>
        </w:numPr>
        <w:spacing w:before="120" w:after="120"/>
        <w:ind w:left="850" w:hanging="425"/>
        <w:contextualSpacing w:val="0"/>
        <w:jc w:val="both"/>
      </w:pPr>
      <w:r>
        <w:t>informácia o skutočnosti, či sú oslovení potenciálni dodávatelia</w:t>
      </w:r>
      <w:r w:rsidDel="009F4C07">
        <w:t xml:space="preserve"> </w:t>
      </w:r>
      <w:r>
        <w:t xml:space="preserve">oprávnení dodávať tovary, uskutočňovať stavebné práce alebo poskytovať služby v rozsahu predmetu zákazky, </w:t>
      </w:r>
    </w:p>
    <w:p w14:paraId="6A3105AB" w14:textId="5DD22D5E" w:rsidR="00D12485" w:rsidRDefault="00D12485" w:rsidP="006C3BF1">
      <w:pPr>
        <w:pStyle w:val="Odsekzoznamu"/>
        <w:numPr>
          <w:ilvl w:val="2"/>
          <w:numId w:val="41"/>
        </w:numPr>
        <w:spacing w:before="120" w:after="120"/>
        <w:ind w:left="850" w:hanging="425"/>
        <w:contextualSpacing w:val="0"/>
        <w:jc w:val="both"/>
      </w:pPr>
      <w:r>
        <w:t xml:space="preserve">dátum vyhodnotenia ponúk, </w:t>
      </w:r>
    </w:p>
    <w:p w14:paraId="75B35406" w14:textId="777A9896" w:rsidR="00D12485" w:rsidRDefault="00D12485" w:rsidP="006C3BF1">
      <w:pPr>
        <w:pStyle w:val="Odsekzoznamu"/>
        <w:numPr>
          <w:ilvl w:val="2"/>
          <w:numId w:val="41"/>
        </w:numPr>
        <w:spacing w:before="120" w:after="120"/>
        <w:ind w:left="850" w:hanging="425"/>
        <w:contextualSpacing w:val="0"/>
        <w:jc w:val="both"/>
      </w:pPr>
      <w:r>
        <w:t xml:space="preserve">zoznam potenciálnych dodávateľov, ktorí predložili ponuku/boli identifikovaní (napr. cez webové rozhranie), </w:t>
      </w:r>
    </w:p>
    <w:p w14:paraId="7BAB6163" w14:textId="3D56210C" w:rsidR="00D12485" w:rsidRDefault="00D12485" w:rsidP="006C3BF1">
      <w:pPr>
        <w:pStyle w:val="Odsekzoznamu"/>
        <w:numPr>
          <w:ilvl w:val="2"/>
          <w:numId w:val="41"/>
        </w:numPr>
        <w:spacing w:before="120" w:after="120"/>
        <w:ind w:left="850" w:hanging="425"/>
        <w:contextualSpacing w:val="0"/>
        <w:jc w:val="both"/>
      </w:pPr>
      <w:r>
        <w:t xml:space="preserve">identifikácia a vyhodnotenie splnenia jednotlivých  podmienok účasti a návrhov </w:t>
      </w:r>
      <w:r>
        <w:br/>
        <w:t xml:space="preserve">na plnenie kritérií, </w:t>
      </w:r>
    </w:p>
    <w:p w14:paraId="78C412DD" w14:textId="3CC716B9" w:rsidR="00D12485" w:rsidRDefault="00D12485" w:rsidP="006C3BF1">
      <w:pPr>
        <w:pStyle w:val="Odsekzoznamu"/>
        <w:numPr>
          <w:ilvl w:val="2"/>
          <w:numId w:val="41"/>
        </w:numPr>
        <w:spacing w:before="120" w:after="120"/>
        <w:ind w:left="850" w:hanging="425"/>
        <w:contextualSpacing w:val="0"/>
        <w:jc w:val="both"/>
      </w:pPr>
      <w:r>
        <w:t xml:space="preserve">identifikácia úspešného dodávateľa/poskytovateľa/zhotoviteľa, </w:t>
      </w:r>
    </w:p>
    <w:p w14:paraId="1514AAE3" w14:textId="3EEC89EB" w:rsidR="00D12485" w:rsidRDefault="00D12485" w:rsidP="006C3BF1">
      <w:pPr>
        <w:pStyle w:val="Odsekzoznamu"/>
        <w:numPr>
          <w:ilvl w:val="2"/>
          <w:numId w:val="41"/>
        </w:numPr>
        <w:spacing w:before="120" w:after="120"/>
        <w:ind w:left="850" w:hanging="425"/>
        <w:contextualSpacing w:val="0"/>
        <w:jc w:val="both"/>
      </w:pPr>
      <w:r>
        <w:t>konečná cena ponuky úspešného dodávateľa</w:t>
      </w:r>
      <w:r w:rsidDel="00820057">
        <w:t xml:space="preserve"> </w:t>
      </w:r>
      <w:r>
        <w:t xml:space="preserve">(uviesť cenu s DPH aj bez DPH), </w:t>
      </w:r>
    </w:p>
    <w:p w14:paraId="54EC9104" w14:textId="328CCDAB" w:rsidR="00D12485" w:rsidRDefault="00D12485" w:rsidP="006C3BF1">
      <w:pPr>
        <w:pStyle w:val="Odsekzoznamu"/>
        <w:numPr>
          <w:ilvl w:val="2"/>
          <w:numId w:val="41"/>
        </w:numPr>
        <w:spacing w:before="120" w:after="120"/>
        <w:ind w:left="850" w:hanging="425"/>
        <w:contextualSpacing w:val="0"/>
        <w:jc w:val="both"/>
      </w:pPr>
      <w:r>
        <w:t>typ a podmienky realizácie zmluvy/objednávky (najmä lehota plnenia a miesto realizácie),</w:t>
      </w:r>
    </w:p>
    <w:p w14:paraId="12843C65" w14:textId="4C31142B" w:rsidR="00D12485" w:rsidRDefault="00D12485" w:rsidP="006C3BF1">
      <w:pPr>
        <w:pStyle w:val="Odsekzoznamu"/>
        <w:numPr>
          <w:ilvl w:val="2"/>
          <w:numId w:val="41"/>
        </w:numPr>
        <w:spacing w:before="120" w:after="120"/>
        <w:ind w:left="850" w:hanging="425"/>
        <w:contextualSpacing w:val="0"/>
        <w:jc w:val="both"/>
      </w:pPr>
      <w:r>
        <w:t>meno, funkcia, dátum a podpis zodpovednej osoby/osôb, ktoré vykonali prieskum.</w:t>
      </w:r>
    </w:p>
    <w:p w14:paraId="760D9E6B" w14:textId="77777777" w:rsidR="00D12485" w:rsidRDefault="00D12485" w:rsidP="006C3BF1">
      <w:pPr>
        <w:spacing w:before="120" w:after="120"/>
        <w:ind w:left="426" w:hanging="426"/>
        <w:jc w:val="both"/>
      </w:pPr>
      <w:r>
        <w:t xml:space="preserve">7. </w:t>
      </w:r>
      <w:r>
        <w:tab/>
      </w:r>
      <w:r w:rsidRPr="00D2615C">
        <w:t>Záznam z prieskumu trhu musí byť zverejnený na webovom sídle prijímateľa alebo inom vhodnom webovom sídle do 5 pracovných dní od dátumu vyhodnotenia ponúk.</w:t>
      </w:r>
    </w:p>
    <w:p w14:paraId="038363C3" w14:textId="77777777" w:rsidR="00D12485" w:rsidRDefault="00D12485" w:rsidP="006C3BF1">
      <w:pPr>
        <w:pStyle w:val="Odsekzoznamu"/>
        <w:numPr>
          <w:ilvl w:val="0"/>
          <w:numId w:val="35"/>
        </w:numPr>
        <w:spacing w:before="120" w:after="120"/>
        <w:ind w:left="426" w:hanging="426"/>
        <w:jc w:val="both"/>
      </w:pPr>
      <w:r>
        <w:t xml:space="preserve">V rámci kontroly zákaziek do 100 000 eur môže RO vykonať kontrolu obstarávania ako súčasť kontroly predmetného výdavku v rámci </w:t>
      </w:r>
      <w:proofErr w:type="spellStart"/>
      <w:r>
        <w:t>ŽoP</w:t>
      </w:r>
      <w:proofErr w:type="spellEnd"/>
      <w:r>
        <w:t xml:space="preserve">. V takom prípade je RO povinný overiť v rámci kontroly </w:t>
      </w:r>
      <w:proofErr w:type="spellStart"/>
      <w:r>
        <w:t>ŽoP</w:t>
      </w:r>
      <w:proofErr w:type="spellEnd"/>
      <w:r>
        <w:t xml:space="preserve"> dodržanie pravidiel na zadávanie tohto typu zákazky.</w:t>
      </w:r>
    </w:p>
    <w:p w14:paraId="699EBCF5" w14:textId="3C5D845C" w:rsidR="006C3BF1" w:rsidRDefault="00D12485" w:rsidP="006C3BF1">
      <w:pPr>
        <w:numPr>
          <w:ilvl w:val="0"/>
          <w:numId w:val="35"/>
        </w:numPr>
        <w:spacing w:before="120" w:after="120"/>
        <w:ind w:left="426" w:hanging="426"/>
        <w:jc w:val="both"/>
      </w:pPr>
      <w:r>
        <w:t xml:space="preserve">V prípade zákaziek podľa tejto kapitoly, ktorých hodnota je do 5 000 eur bez DPH, je možné určiť úspešného dodávateľa priamym zadaním, ak RO vo vzťahu k predmetu zákazky určil na dané výdavky finančné limity, ktoré zohľadňujú dodržanie pravidiel hospodárnosti v súlade s metodickým pokynom CKO č. 18 </w:t>
      </w:r>
      <w:hyperlink r:id="rId16" w:history="1">
        <w:r w:rsidRPr="00C07423">
          <w:t>k overovaniu hospodárnosti výdavkov</w:t>
        </w:r>
      </w:hyperlink>
      <w:r>
        <w:t>. V prípade priameho zadania zákazky do 5 000 eur bez DPH nemusí byť výsledkom zmluva alebo objednávka,  postačuje účtovný doklad, napr. faktúra</w:t>
      </w:r>
      <w:r w:rsidRPr="0057378A">
        <w:t>, p</w:t>
      </w:r>
      <w:r>
        <w:t xml:space="preserve">okladničné bloky, dodacie listy </w:t>
      </w:r>
      <w:r w:rsidRPr="0057378A">
        <w:t xml:space="preserve">v prípadoch, že dodanie tovaru nie je zdokladované </w:t>
      </w:r>
      <w:r w:rsidRPr="0057378A">
        <w:lastRenderedPageBreak/>
        <w:t>priamo na faktúre</w:t>
      </w:r>
      <w:r>
        <w:t>. Prijímateľ v prípade zákaziek tohto typu nevyhotovuje záznam z prieskumu trhu.</w:t>
      </w:r>
    </w:p>
    <w:p w14:paraId="310EFC69" w14:textId="3CF6D46C" w:rsidR="006C3BF1" w:rsidRDefault="000549A1" w:rsidP="006C3BF1">
      <w:pPr>
        <w:pStyle w:val="MPCKO1"/>
      </w:pPr>
      <w:bookmarkStart w:id="18" w:name="_Toc526861521"/>
      <w:r>
        <w:t xml:space="preserve">3 </w:t>
      </w:r>
      <w:r w:rsidR="006C3BF1">
        <w:t>Prílohy</w:t>
      </w:r>
      <w:bookmarkEnd w:id="18"/>
    </w:p>
    <w:p w14:paraId="6EDC3013" w14:textId="3F4E11D5" w:rsidR="00AB5198" w:rsidRDefault="000549A1" w:rsidP="006C3BF1">
      <w:pPr>
        <w:spacing w:before="120" w:after="120"/>
        <w:jc w:val="both"/>
      </w:pPr>
      <w:r>
        <w:t xml:space="preserve">Príloha č. 1: </w:t>
      </w:r>
      <w:r w:rsidR="00AB5198" w:rsidRPr="00D12485">
        <w:t xml:space="preserve">Informácia o zverejnení výzvy na predkladanie ponúk na webovom sídle </w:t>
      </w:r>
      <w:hyperlink r:id="rId17" w:history="1">
        <w:r w:rsidR="00AB5198" w:rsidRPr="00D12485">
          <w:rPr>
            <w:rStyle w:val="Hypertextovprepojenie"/>
          </w:rPr>
          <w:t>www.partnerskadohoda.gov.sk</w:t>
        </w:r>
      </w:hyperlink>
      <w:r w:rsidR="00AB5198" w:rsidRPr="00D12485">
        <w:t xml:space="preserve"> </w:t>
      </w:r>
    </w:p>
    <w:p w14:paraId="47590B82" w14:textId="77777777" w:rsidR="00AB5198" w:rsidRPr="00D12485" w:rsidRDefault="00AB5198" w:rsidP="00AB5198">
      <w:pPr>
        <w:spacing w:before="120" w:after="120"/>
        <w:ind w:left="360"/>
        <w:jc w:val="both"/>
      </w:pPr>
    </w:p>
    <w:bookmarkEnd w:id="17"/>
    <w:p w14:paraId="57B0906B" w14:textId="1C9A8F2C" w:rsidR="00AB5198" w:rsidRPr="00AB5198" w:rsidRDefault="00AB5198" w:rsidP="00C156FF">
      <w:pPr>
        <w:tabs>
          <w:tab w:val="left" w:pos="3600"/>
        </w:tabs>
      </w:pPr>
    </w:p>
    <w:sectPr w:rsidR="00AB5198" w:rsidRPr="00AB5198" w:rsidSect="00623659">
      <w:headerReference w:type="default" r:id="rId18"/>
      <w:footerReference w:type="default" r:id="rId1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8FE03" w14:textId="77777777" w:rsidR="00F94312" w:rsidRDefault="00F94312" w:rsidP="00B948E0">
      <w:r>
        <w:separator/>
      </w:r>
    </w:p>
  </w:endnote>
  <w:endnote w:type="continuationSeparator" w:id="0">
    <w:p w14:paraId="5EE41C60" w14:textId="77777777" w:rsidR="00F94312" w:rsidRDefault="00F94312"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573969"/>
      <w:docPartObj>
        <w:docPartGallery w:val="Page Numbers (Bottom of Page)"/>
        <w:docPartUnique/>
      </w:docPartObj>
    </w:sdtPr>
    <w:sdtEndPr/>
    <w:sdtContent>
      <w:p w14:paraId="4DA5FC4C" w14:textId="77777777" w:rsidR="00E87B39" w:rsidRPr="00E87B39" w:rsidRDefault="00E87B39" w:rsidP="00E87B39">
        <w:pPr>
          <w:pStyle w:val="Pta"/>
          <w:jc w:val="right"/>
        </w:pPr>
        <w:r w:rsidRPr="00E87B39">
          <w:rPr>
            <w:noProof/>
          </w:rPr>
          <mc:AlternateContent>
            <mc:Choice Requires="wps">
              <w:drawing>
                <wp:anchor distT="0" distB="0" distL="114300" distR="114300" simplePos="0" relativeHeight="251656192" behindDoc="0" locked="0" layoutInCell="1" allowOverlap="1" wp14:anchorId="561FD64D" wp14:editId="1E6D391E">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1268E00D" id="Rovná spojnica 4"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" strokecolor="#f79646 [3209]" strokeweight="3pt">
                  <v:shadow on="t" color="black" opacity="22937f" origin=",.5" offset="0,.63889mm"/>
                </v:line>
              </w:pict>
            </mc:Fallback>
          </mc:AlternateContent>
        </w:r>
        <w:r w:rsidRPr="00E87B39">
          <w:t xml:space="preserve"> </w:t>
        </w:r>
      </w:p>
      <w:p w14:paraId="73CCCAF2" w14:textId="5845A647" w:rsidR="00E87B39" w:rsidRPr="00E87B39" w:rsidRDefault="00E87B39" w:rsidP="00E87B39">
        <w:pPr>
          <w:tabs>
            <w:tab w:val="center" w:pos="4536"/>
            <w:tab w:val="right" w:pos="9072"/>
          </w:tabs>
          <w:jc w:val="right"/>
        </w:pPr>
        <w:r w:rsidRPr="00E87B39">
          <w:rPr>
            <w:noProof/>
          </w:rPr>
          <w:drawing>
            <wp:anchor distT="0" distB="0" distL="114300" distR="114300" simplePos="0" relativeHeight="251658240" behindDoc="1" locked="0" layoutInCell="1" allowOverlap="1" wp14:anchorId="5F34F203" wp14:editId="0D354D3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7B39">
          <w:t xml:space="preserve">Strana </w:t>
        </w:r>
        <w:sdt>
          <w:sdtPr>
            <w:id w:val="320479949"/>
            <w:docPartObj>
              <w:docPartGallery w:val="Page Numbers (Bottom of Page)"/>
              <w:docPartUnique/>
            </w:docPartObj>
          </w:sdtPr>
          <w:sdtEndPr/>
          <w:sdtContent>
            <w:r w:rsidRPr="00E87B39">
              <w:fldChar w:fldCharType="begin"/>
            </w:r>
            <w:r w:rsidRPr="00E87B39">
              <w:instrText>PAGE   \* MERGEFORMAT</w:instrText>
            </w:r>
            <w:r w:rsidRPr="00E87B39">
              <w:fldChar w:fldCharType="separate"/>
            </w:r>
            <w:r w:rsidR="00080992">
              <w:rPr>
                <w:noProof/>
              </w:rPr>
              <w:t>3</w:t>
            </w:r>
            <w:r w:rsidRPr="00E87B39">
              <w:fldChar w:fldCharType="end"/>
            </w:r>
          </w:sdtContent>
        </w:sdt>
      </w:p>
      <w:p w14:paraId="12928FDE" w14:textId="77777777" w:rsidR="00E87B39" w:rsidRPr="00E87B39" w:rsidRDefault="00F94312" w:rsidP="00E87B39">
        <w:pPr>
          <w:tabs>
            <w:tab w:val="center" w:pos="4536"/>
            <w:tab w:val="right" w:pos="9072"/>
          </w:tabs>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473E0" w14:textId="77777777" w:rsidR="00F94312" w:rsidRDefault="00F94312" w:rsidP="00B948E0">
      <w:r>
        <w:separator/>
      </w:r>
    </w:p>
  </w:footnote>
  <w:footnote w:type="continuationSeparator" w:id="0">
    <w:p w14:paraId="57F758B0" w14:textId="77777777" w:rsidR="00F94312" w:rsidRDefault="00F94312" w:rsidP="00B948E0">
      <w:r>
        <w:continuationSeparator/>
      </w:r>
    </w:p>
  </w:footnote>
  <w:footnote w:id="1">
    <w:p w14:paraId="1C58D0B5" w14:textId="77777777" w:rsidR="00D12485" w:rsidRDefault="00D12485" w:rsidP="00D12485">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2D411" w14:textId="77777777" w:rsidR="00080992" w:rsidRDefault="00080992" w:rsidP="00080992">
    <w:pPr>
      <w:pStyle w:val="Hlavika"/>
    </w:pPr>
    <w:r>
      <w:rPr>
        <w:noProof/>
      </w:rPr>
      <mc:AlternateContent>
        <mc:Choice Requires="wps">
          <w:drawing>
            <wp:anchor distT="0" distB="0" distL="114300" distR="114300" simplePos="0" relativeHeight="251660288" behindDoc="0" locked="0" layoutInCell="1" allowOverlap="1" wp14:anchorId="77AF5A0E" wp14:editId="1D1ED5B5">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13DF1B86" id="Rovná spojnica 6"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" strokecolor="#f79646 [3209]" strokeweight="3pt">
              <v:shadow on="t" color="black" opacity="22937f" origin=",.5" offset="0,.63889mm"/>
            </v:line>
          </w:pict>
        </mc:Fallback>
      </mc:AlternateContent>
    </w:r>
  </w:p>
  <w:sdt>
    <w:sdtPr>
      <w:rPr>
        <w:szCs w:val="20"/>
      </w:rPr>
      <w:id w:val="2070840989"/>
      <w:date w:fullDate="2018-10-09T00:00:00Z">
        <w:dateFormat w:val="dd.MM.yyyy"/>
        <w:lid w:val="sk-SK"/>
        <w:storeMappedDataAs w:val="dateTime"/>
        <w:calendar w:val="gregorian"/>
      </w:date>
    </w:sdtPr>
    <w:sdtContent>
      <w:p w14:paraId="5A0E751A" w14:textId="3103FF55" w:rsidR="00080992" w:rsidRPr="00627EA3" w:rsidRDefault="00080992" w:rsidP="00080992">
        <w:pPr>
          <w:pStyle w:val="Hlavika"/>
          <w:jc w:val="right"/>
        </w:pPr>
        <w:r>
          <w:rPr>
            <w:szCs w:val="20"/>
          </w:rPr>
          <w:t>09.10.2018</w:t>
        </w:r>
      </w:p>
    </w:sdtContent>
  </w:sdt>
  <w:p w14:paraId="25BAEDE0" w14:textId="77777777" w:rsidR="00E87B39" w:rsidRPr="00080992" w:rsidRDefault="00E87B39" w:rsidP="0008099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45E"/>
    <w:multiLevelType w:val="hybridMultilevel"/>
    <w:tmpl w:val="EC70367E"/>
    <w:lvl w:ilvl="0" w:tplc="2680788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167A43"/>
    <w:multiLevelType w:val="hybridMultilevel"/>
    <w:tmpl w:val="1126403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3097" w:hanging="360"/>
      </w:pPr>
      <w:rPr>
        <w:rFonts w:cs="Times New Roman"/>
      </w:rPr>
    </w:lvl>
    <w:lvl w:ilvl="2" w:tplc="041B001B" w:tentative="1">
      <w:start w:val="1"/>
      <w:numFmt w:val="lowerRoman"/>
      <w:lvlText w:val="%3."/>
      <w:lvlJc w:val="right"/>
      <w:pPr>
        <w:ind w:left="-2377" w:hanging="180"/>
      </w:pPr>
      <w:rPr>
        <w:rFonts w:cs="Times New Roman"/>
      </w:rPr>
    </w:lvl>
    <w:lvl w:ilvl="3" w:tplc="041B000F" w:tentative="1">
      <w:start w:val="1"/>
      <w:numFmt w:val="decimal"/>
      <w:lvlText w:val="%4."/>
      <w:lvlJc w:val="left"/>
      <w:pPr>
        <w:ind w:left="-1657" w:hanging="360"/>
      </w:pPr>
      <w:rPr>
        <w:rFonts w:cs="Times New Roman"/>
      </w:rPr>
    </w:lvl>
    <w:lvl w:ilvl="4" w:tplc="041B0019" w:tentative="1">
      <w:start w:val="1"/>
      <w:numFmt w:val="lowerLetter"/>
      <w:lvlText w:val="%5."/>
      <w:lvlJc w:val="left"/>
      <w:pPr>
        <w:ind w:left="-937" w:hanging="360"/>
      </w:pPr>
      <w:rPr>
        <w:rFonts w:cs="Times New Roman"/>
      </w:rPr>
    </w:lvl>
    <w:lvl w:ilvl="5" w:tplc="041B001B" w:tentative="1">
      <w:start w:val="1"/>
      <w:numFmt w:val="lowerRoman"/>
      <w:lvlText w:val="%6."/>
      <w:lvlJc w:val="right"/>
      <w:pPr>
        <w:ind w:left="-217" w:hanging="180"/>
      </w:pPr>
      <w:rPr>
        <w:rFonts w:cs="Times New Roman"/>
      </w:rPr>
    </w:lvl>
    <w:lvl w:ilvl="6" w:tplc="041B000F" w:tentative="1">
      <w:start w:val="1"/>
      <w:numFmt w:val="decimal"/>
      <w:lvlText w:val="%7."/>
      <w:lvlJc w:val="left"/>
      <w:pPr>
        <w:ind w:left="503" w:hanging="360"/>
      </w:pPr>
      <w:rPr>
        <w:rFonts w:cs="Times New Roman"/>
      </w:rPr>
    </w:lvl>
    <w:lvl w:ilvl="7" w:tplc="041B0019" w:tentative="1">
      <w:start w:val="1"/>
      <w:numFmt w:val="lowerLetter"/>
      <w:lvlText w:val="%8."/>
      <w:lvlJc w:val="left"/>
      <w:pPr>
        <w:ind w:left="1223" w:hanging="360"/>
      </w:pPr>
      <w:rPr>
        <w:rFonts w:cs="Times New Roman"/>
      </w:rPr>
    </w:lvl>
    <w:lvl w:ilvl="8" w:tplc="041B001B" w:tentative="1">
      <w:start w:val="1"/>
      <w:numFmt w:val="lowerRoman"/>
      <w:lvlText w:val="%9."/>
      <w:lvlJc w:val="right"/>
      <w:pPr>
        <w:ind w:left="1943" w:hanging="180"/>
      </w:pPr>
      <w:rPr>
        <w:rFonts w:cs="Times New Roman"/>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5"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22B3C6E"/>
    <w:multiLevelType w:val="hybridMultilevel"/>
    <w:tmpl w:val="20665A52"/>
    <w:lvl w:ilvl="0" w:tplc="041B0011">
      <w:start w:val="1"/>
      <w:numFmt w:val="decimal"/>
      <w:lvlText w:val="%1)"/>
      <w:lvlJc w:val="left"/>
      <w:pPr>
        <w:ind w:left="1069" w:hanging="360"/>
      </w:pPr>
      <w:rPr>
        <w:rFonts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1ED501CE"/>
    <w:multiLevelType w:val="hybridMultilevel"/>
    <w:tmpl w:val="79AEACB0"/>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86B2D406">
      <w:start w:val="1"/>
      <w:numFmt w:val="lowerLetter"/>
      <w:lvlText w:val="%3)"/>
      <w:lvlJc w:val="left"/>
      <w:pPr>
        <w:ind w:left="2415" w:hanging="435"/>
      </w:pPr>
      <w:rPr>
        <w:rFonts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B5D3B16"/>
    <w:multiLevelType w:val="hybridMultilevel"/>
    <w:tmpl w:val="747C2140"/>
    <w:lvl w:ilvl="0" w:tplc="041B0011">
      <w:start w:val="1"/>
      <w:numFmt w:val="decimal"/>
      <w:lvlText w:val="%1)"/>
      <w:lvlJc w:val="left"/>
      <w:pPr>
        <w:ind w:left="1069" w:hanging="360"/>
      </w:pPr>
      <w:rPr>
        <w:rFonts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9" w15:restartNumberingAfterBreak="0">
    <w:nsid w:val="2BF76F9B"/>
    <w:multiLevelType w:val="hybridMultilevel"/>
    <w:tmpl w:val="D2BE754C"/>
    <w:lvl w:ilvl="0" w:tplc="E07EE1AA">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4C349C9"/>
    <w:multiLevelType w:val="hybridMultilevel"/>
    <w:tmpl w:val="AB1A8C62"/>
    <w:lvl w:ilvl="0" w:tplc="E07EE1AA">
      <w:start w:val="1"/>
      <w:numFmt w:val="bullet"/>
      <w:lvlText w:val="-"/>
      <w:lvlJc w:val="left"/>
      <w:pPr>
        <w:ind w:left="1429" w:hanging="360"/>
      </w:pPr>
      <w:rPr>
        <w:rFonts w:ascii="Times New Roman" w:eastAsia="Times New Roman" w:hAnsi="Times New Roman" w:cs="Times New Roman"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87F1A81"/>
    <w:multiLevelType w:val="hybridMultilevel"/>
    <w:tmpl w:val="1ED64B76"/>
    <w:lvl w:ilvl="0" w:tplc="041B0011">
      <w:start w:val="1"/>
      <w:numFmt w:val="decimal"/>
      <w:lvlText w:val="%1)"/>
      <w:lvlJc w:val="left"/>
      <w:pPr>
        <w:ind w:left="1069" w:hanging="360"/>
      </w:pPr>
      <w:rPr>
        <w:rFonts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3"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E5D09BF"/>
    <w:multiLevelType w:val="hybridMultilevel"/>
    <w:tmpl w:val="8BAA7D92"/>
    <w:lvl w:ilvl="0" w:tplc="B1ACC400">
      <w:start w:val="1"/>
      <w:numFmt w:val="lowerLetter"/>
      <w:lvlText w:val="%1)"/>
      <w:lvlJc w:val="left"/>
      <w:pPr>
        <w:ind w:left="360"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529276E3"/>
    <w:multiLevelType w:val="multilevel"/>
    <w:tmpl w:val="14EC1CF4"/>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6B951A4"/>
    <w:multiLevelType w:val="hybridMultilevel"/>
    <w:tmpl w:val="888E2B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4DC0EA3"/>
    <w:multiLevelType w:val="hybridMultilevel"/>
    <w:tmpl w:val="4EC2FB2A"/>
    <w:lvl w:ilvl="0" w:tplc="1A64CDA8">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5A7444"/>
    <w:multiLevelType w:val="hybridMultilevel"/>
    <w:tmpl w:val="1126403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3097" w:hanging="360"/>
      </w:pPr>
      <w:rPr>
        <w:rFonts w:cs="Times New Roman"/>
      </w:rPr>
    </w:lvl>
    <w:lvl w:ilvl="2" w:tplc="041B001B" w:tentative="1">
      <w:start w:val="1"/>
      <w:numFmt w:val="lowerRoman"/>
      <w:lvlText w:val="%3."/>
      <w:lvlJc w:val="right"/>
      <w:pPr>
        <w:ind w:left="-2377" w:hanging="180"/>
      </w:pPr>
      <w:rPr>
        <w:rFonts w:cs="Times New Roman"/>
      </w:rPr>
    </w:lvl>
    <w:lvl w:ilvl="3" w:tplc="041B000F" w:tentative="1">
      <w:start w:val="1"/>
      <w:numFmt w:val="decimal"/>
      <w:lvlText w:val="%4."/>
      <w:lvlJc w:val="left"/>
      <w:pPr>
        <w:ind w:left="-1657" w:hanging="360"/>
      </w:pPr>
      <w:rPr>
        <w:rFonts w:cs="Times New Roman"/>
      </w:rPr>
    </w:lvl>
    <w:lvl w:ilvl="4" w:tplc="041B0019" w:tentative="1">
      <w:start w:val="1"/>
      <w:numFmt w:val="lowerLetter"/>
      <w:lvlText w:val="%5."/>
      <w:lvlJc w:val="left"/>
      <w:pPr>
        <w:ind w:left="-937" w:hanging="360"/>
      </w:pPr>
      <w:rPr>
        <w:rFonts w:cs="Times New Roman"/>
      </w:rPr>
    </w:lvl>
    <w:lvl w:ilvl="5" w:tplc="041B001B" w:tentative="1">
      <w:start w:val="1"/>
      <w:numFmt w:val="lowerRoman"/>
      <w:lvlText w:val="%6."/>
      <w:lvlJc w:val="right"/>
      <w:pPr>
        <w:ind w:left="-217" w:hanging="180"/>
      </w:pPr>
      <w:rPr>
        <w:rFonts w:cs="Times New Roman"/>
      </w:rPr>
    </w:lvl>
    <w:lvl w:ilvl="6" w:tplc="041B000F" w:tentative="1">
      <w:start w:val="1"/>
      <w:numFmt w:val="decimal"/>
      <w:lvlText w:val="%7."/>
      <w:lvlJc w:val="left"/>
      <w:pPr>
        <w:ind w:left="503" w:hanging="360"/>
      </w:pPr>
      <w:rPr>
        <w:rFonts w:cs="Times New Roman"/>
      </w:rPr>
    </w:lvl>
    <w:lvl w:ilvl="7" w:tplc="041B0019" w:tentative="1">
      <w:start w:val="1"/>
      <w:numFmt w:val="lowerLetter"/>
      <w:lvlText w:val="%8."/>
      <w:lvlJc w:val="left"/>
      <w:pPr>
        <w:ind w:left="1223" w:hanging="360"/>
      </w:pPr>
      <w:rPr>
        <w:rFonts w:cs="Times New Roman"/>
      </w:rPr>
    </w:lvl>
    <w:lvl w:ilvl="8" w:tplc="041B001B" w:tentative="1">
      <w:start w:val="1"/>
      <w:numFmt w:val="lowerRoman"/>
      <w:lvlText w:val="%9."/>
      <w:lvlJc w:val="right"/>
      <w:pPr>
        <w:ind w:left="1943" w:hanging="180"/>
      </w:pPr>
      <w:rPr>
        <w:rFonts w:cs="Times New Roman"/>
      </w:rPr>
    </w:lvl>
  </w:abstractNum>
  <w:abstractNum w:abstractNumId="2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1C2ACF"/>
    <w:multiLevelType w:val="hybridMultilevel"/>
    <w:tmpl w:val="EF7E373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F137CEF"/>
    <w:multiLevelType w:val="hybridMultilevel"/>
    <w:tmpl w:val="5B0E91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0D571CD"/>
    <w:multiLevelType w:val="hybridMultilevel"/>
    <w:tmpl w:val="4880D2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76DE7310"/>
    <w:multiLevelType w:val="hybridMultilevel"/>
    <w:tmpl w:val="14BEFFC6"/>
    <w:lvl w:ilvl="0" w:tplc="8F5E916A">
      <w:start w:val="8"/>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num w:numId="1">
    <w:abstractNumId w:val="10"/>
  </w:num>
  <w:num w:numId="2">
    <w:abstractNumId w:val="14"/>
  </w:num>
  <w:num w:numId="3">
    <w:abstractNumId w:val="5"/>
  </w:num>
  <w:num w:numId="4">
    <w:abstractNumId w:val="29"/>
  </w:num>
  <w:num w:numId="5">
    <w:abstractNumId w:val="13"/>
  </w:num>
  <w:num w:numId="6">
    <w:abstractNumId w:val="25"/>
  </w:num>
  <w:num w:numId="7">
    <w:abstractNumId w:val="23"/>
  </w:num>
  <w:num w:numId="8">
    <w:abstractNumId w:val="23"/>
  </w:num>
  <w:num w:numId="9">
    <w:abstractNumId w:val="23"/>
  </w:num>
  <w:num w:numId="10">
    <w:abstractNumId w:val="23"/>
    <w:lvlOverride w:ilvl="0">
      <w:startOverride w:val="1"/>
    </w:lvlOverride>
  </w:num>
  <w:num w:numId="11">
    <w:abstractNumId w:val="23"/>
  </w:num>
  <w:num w:numId="12">
    <w:abstractNumId w:val="23"/>
    <w:lvlOverride w:ilvl="0">
      <w:startOverride w:val="1"/>
    </w:lvlOverride>
  </w:num>
  <w:num w:numId="13">
    <w:abstractNumId w:val="23"/>
    <w:lvlOverride w:ilvl="0">
      <w:startOverride w:val="1"/>
    </w:lvlOverride>
  </w:num>
  <w:num w:numId="14">
    <w:abstractNumId w:val="23"/>
  </w:num>
  <w:num w:numId="15">
    <w:abstractNumId w:val="23"/>
  </w:num>
  <w:num w:numId="16">
    <w:abstractNumId w:val="23"/>
  </w:num>
  <w:num w:numId="17">
    <w:abstractNumId w:val="16"/>
  </w:num>
  <w:num w:numId="18">
    <w:abstractNumId w:val="23"/>
  </w:num>
  <w:num w:numId="19">
    <w:abstractNumId w:val="21"/>
  </w:num>
  <w:num w:numId="20">
    <w:abstractNumId w:val="4"/>
  </w:num>
  <w:num w:numId="21">
    <w:abstractNumId w:val="3"/>
  </w:num>
  <w:num w:numId="22">
    <w:abstractNumId w:val="1"/>
  </w:num>
  <w:num w:numId="23">
    <w:abstractNumId w:val="19"/>
  </w:num>
  <w:num w:numId="24">
    <w:abstractNumId w:val="30"/>
  </w:num>
  <w:num w:numId="25">
    <w:abstractNumId w:val="22"/>
  </w:num>
  <w:num w:numId="26">
    <w:abstractNumId w:val="26"/>
  </w:num>
  <w:num w:numId="27">
    <w:abstractNumId w:val="17"/>
  </w:num>
  <w:num w:numId="28">
    <w:abstractNumId w:val="0"/>
  </w:num>
  <w:num w:numId="29">
    <w:abstractNumId w:val="9"/>
  </w:num>
  <w:num w:numId="30">
    <w:abstractNumId w:val="20"/>
  </w:num>
  <w:num w:numId="31">
    <w:abstractNumId w:val="2"/>
  </w:num>
  <w:num w:numId="32">
    <w:abstractNumId w:val="15"/>
  </w:num>
  <w:num w:numId="33">
    <w:abstractNumId w:val="18"/>
  </w:num>
  <w:num w:numId="34">
    <w:abstractNumId w:val="7"/>
  </w:num>
  <w:num w:numId="35">
    <w:abstractNumId w:val="28"/>
  </w:num>
  <w:num w:numId="36">
    <w:abstractNumId w:val="8"/>
  </w:num>
  <w:num w:numId="37">
    <w:abstractNumId w:val="11"/>
  </w:num>
  <w:num w:numId="38">
    <w:abstractNumId w:val="6"/>
  </w:num>
  <w:num w:numId="39">
    <w:abstractNumId w:val="12"/>
  </w:num>
  <w:num w:numId="40">
    <w:abstractNumId w:val="24"/>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4892"/>
    <w:rsid w:val="00025A34"/>
    <w:rsid w:val="00044F3A"/>
    <w:rsid w:val="00050728"/>
    <w:rsid w:val="000549A1"/>
    <w:rsid w:val="00066955"/>
    <w:rsid w:val="00071088"/>
    <w:rsid w:val="00075B47"/>
    <w:rsid w:val="00080992"/>
    <w:rsid w:val="000D298C"/>
    <w:rsid w:val="000D6B86"/>
    <w:rsid w:val="000E2AA4"/>
    <w:rsid w:val="00116F61"/>
    <w:rsid w:val="0014641E"/>
    <w:rsid w:val="0015233E"/>
    <w:rsid w:val="00173917"/>
    <w:rsid w:val="001873B5"/>
    <w:rsid w:val="001A6877"/>
    <w:rsid w:val="001B12DC"/>
    <w:rsid w:val="001B27DA"/>
    <w:rsid w:val="001B6E9F"/>
    <w:rsid w:val="001C513F"/>
    <w:rsid w:val="001D4B25"/>
    <w:rsid w:val="001F0193"/>
    <w:rsid w:val="002259C4"/>
    <w:rsid w:val="00225A05"/>
    <w:rsid w:val="00246970"/>
    <w:rsid w:val="002533C6"/>
    <w:rsid w:val="00256687"/>
    <w:rsid w:val="00274479"/>
    <w:rsid w:val="00295A5B"/>
    <w:rsid w:val="002A19DC"/>
    <w:rsid w:val="002A1E17"/>
    <w:rsid w:val="002D65BD"/>
    <w:rsid w:val="002E611C"/>
    <w:rsid w:val="002E7F32"/>
    <w:rsid w:val="002E7F66"/>
    <w:rsid w:val="00315873"/>
    <w:rsid w:val="003437EB"/>
    <w:rsid w:val="00386CBA"/>
    <w:rsid w:val="00393784"/>
    <w:rsid w:val="003A67E1"/>
    <w:rsid w:val="003B0DFE"/>
    <w:rsid w:val="003B2F8A"/>
    <w:rsid w:val="003C2544"/>
    <w:rsid w:val="003D568C"/>
    <w:rsid w:val="004053DD"/>
    <w:rsid w:val="00416E2D"/>
    <w:rsid w:val="00432DF1"/>
    <w:rsid w:val="004445A9"/>
    <w:rsid w:val="00460F75"/>
    <w:rsid w:val="00477B8E"/>
    <w:rsid w:val="00490AF9"/>
    <w:rsid w:val="00493F0A"/>
    <w:rsid w:val="004A0829"/>
    <w:rsid w:val="004C1071"/>
    <w:rsid w:val="004D6B0B"/>
    <w:rsid w:val="004E2120"/>
    <w:rsid w:val="004E3ABD"/>
    <w:rsid w:val="004E70A5"/>
    <w:rsid w:val="005122F6"/>
    <w:rsid w:val="00541FF5"/>
    <w:rsid w:val="00576C6F"/>
    <w:rsid w:val="005800C7"/>
    <w:rsid w:val="00580A58"/>
    <w:rsid w:val="00586FDB"/>
    <w:rsid w:val="005A7F0C"/>
    <w:rsid w:val="005B2F40"/>
    <w:rsid w:val="005B49EF"/>
    <w:rsid w:val="005B5052"/>
    <w:rsid w:val="005F5B71"/>
    <w:rsid w:val="00622D7A"/>
    <w:rsid w:val="00623659"/>
    <w:rsid w:val="006479DF"/>
    <w:rsid w:val="00660DCB"/>
    <w:rsid w:val="006636F1"/>
    <w:rsid w:val="006719A0"/>
    <w:rsid w:val="00687102"/>
    <w:rsid w:val="006A5157"/>
    <w:rsid w:val="006A7DF2"/>
    <w:rsid w:val="006C3BF1"/>
    <w:rsid w:val="006C6A25"/>
    <w:rsid w:val="006D082A"/>
    <w:rsid w:val="006D3B82"/>
    <w:rsid w:val="006F15B4"/>
    <w:rsid w:val="006F252F"/>
    <w:rsid w:val="006F31F3"/>
    <w:rsid w:val="007379AE"/>
    <w:rsid w:val="0076414C"/>
    <w:rsid w:val="00765555"/>
    <w:rsid w:val="00771CC6"/>
    <w:rsid w:val="00773D4C"/>
    <w:rsid w:val="00782970"/>
    <w:rsid w:val="007A0A10"/>
    <w:rsid w:val="007A60EF"/>
    <w:rsid w:val="007E35C9"/>
    <w:rsid w:val="007F0D9A"/>
    <w:rsid w:val="00801225"/>
    <w:rsid w:val="00801D93"/>
    <w:rsid w:val="0084743A"/>
    <w:rsid w:val="00850467"/>
    <w:rsid w:val="008743E6"/>
    <w:rsid w:val="008806AC"/>
    <w:rsid w:val="008C271F"/>
    <w:rsid w:val="008D0F9C"/>
    <w:rsid w:val="008D75F9"/>
    <w:rsid w:val="008F2627"/>
    <w:rsid w:val="008F75AF"/>
    <w:rsid w:val="0090110D"/>
    <w:rsid w:val="00911D80"/>
    <w:rsid w:val="00926284"/>
    <w:rsid w:val="00942655"/>
    <w:rsid w:val="009522DC"/>
    <w:rsid w:val="00954706"/>
    <w:rsid w:val="00977CF6"/>
    <w:rsid w:val="009836CF"/>
    <w:rsid w:val="009A7849"/>
    <w:rsid w:val="009B421D"/>
    <w:rsid w:val="009C0D0A"/>
    <w:rsid w:val="00A144AE"/>
    <w:rsid w:val="00A9254C"/>
    <w:rsid w:val="00AB5198"/>
    <w:rsid w:val="00AB755C"/>
    <w:rsid w:val="00AF6B90"/>
    <w:rsid w:val="00B12061"/>
    <w:rsid w:val="00B315E9"/>
    <w:rsid w:val="00B4284E"/>
    <w:rsid w:val="00B53B4A"/>
    <w:rsid w:val="00B855ED"/>
    <w:rsid w:val="00B948E0"/>
    <w:rsid w:val="00BA089F"/>
    <w:rsid w:val="00BA13ED"/>
    <w:rsid w:val="00BA1432"/>
    <w:rsid w:val="00BA4376"/>
    <w:rsid w:val="00BC14B8"/>
    <w:rsid w:val="00BC4BAC"/>
    <w:rsid w:val="00BE0377"/>
    <w:rsid w:val="00C1330F"/>
    <w:rsid w:val="00C156FF"/>
    <w:rsid w:val="00C214B6"/>
    <w:rsid w:val="00C348A2"/>
    <w:rsid w:val="00C41839"/>
    <w:rsid w:val="00C6439D"/>
    <w:rsid w:val="00C72C9C"/>
    <w:rsid w:val="00C92BF0"/>
    <w:rsid w:val="00C9618D"/>
    <w:rsid w:val="00CA1229"/>
    <w:rsid w:val="00CA208E"/>
    <w:rsid w:val="00CD3D13"/>
    <w:rsid w:val="00D05350"/>
    <w:rsid w:val="00D12485"/>
    <w:rsid w:val="00D239D4"/>
    <w:rsid w:val="00D42472"/>
    <w:rsid w:val="00D43CA3"/>
    <w:rsid w:val="00D56813"/>
    <w:rsid w:val="00D61BB6"/>
    <w:rsid w:val="00D86DA2"/>
    <w:rsid w:val="00DA2CDE"/>
    <w:rsid w:val="00DB798B"/>
    <w:rsid w:val="00DD4310"/>
    <w:rsid w:val="00E40048"/>
    <w:rsid w:val="00E52D37"/>
    <w:rsid w:val="00E53D60"/>
    <w:rsid w:val="00E5416A"/>
    <w:rsid w:val="00E66D03"/>
    <w:rsid w:val="00E742C1"/>
    <w:rsid w:val="00E74EA1"/>
    <w:rsid w:val="00E7702D"/>
    <w:rsid w:val="00E87B39"/>
    <w:rsid w:val="00EE70FE"/>
    <w:rsid w:val="00EE7D76"/>
    <w:rsid w:val="00F0607A"/>
    <w:rsid w:val="00F10B9D"/>
    <w:rsid w:val="00F27075"/>
    <w:rsid w:val="00F50D22"/>
    <w:rsid w:val="00F94312"/>
    <w:rsid w:val="00F97E8C"/>
    <w:rsid w:val="00FC04A6"/>
    <w:rsid w:val="00FC0F30"/>
    <w:rsid w:val="00FD6D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81309"/>
  <w15:docId w15:val="{E14A5593-8139-4106-B914-2E46CCD9D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6C3BF1"/>
    <w:pPr>
      <w:tabs>
        <w:tab w:val="right" w:leader="dot" w:pos="9062"/>
      </w:tabs>
      <w:spacing w:after="100"/>
      <w:ind w:left="426" w:hanging="186"/>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customStyle="1" w:styleId="OdsekzoznamuChar">
    <w:name w:val="Odsek zoznamu Char"/>
    <w:aliases w:val="body Char,Odsek zoznamu2 Char"/>
    <w:link w:val="Odsekzoznamu"/>
    <w:uiPriority w:val="34"/>
    <w:locked/>
    <w:rsid w:val="00D12485"/>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partnerskadohoda.gov.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 Type="http://schemas.openxmlformats.org/officeDocument/2006/relationships/numbering" Target="numbering.xml"/><Relationship Id="rId16" Type="http://schemas.openxmlformats.org/officeDocument/2006/relationships/hyperlink" Target="http://www.partnerskadohoda.gov.sk/data/files/1305_mp-cko-c-18-verzia-4.zi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rtnerskadohoda.gov.sk" TargetMode="External"/><Relationship Id="rId5" Type="http://schemas.openxmlformats.org/officeDocument/2006/relationships/webSettings" Target="webSettings.xml"/><Relationship Id="rId15" Type="http://schemas.openxmlformats.org/officeDocument/2006/relationships/hyperlink" Target="mailto:zakazkycko@vlada.gov.sk" TargetMode="External"/><Relationship Id="rId10" Type="http://schemas.openxmlformats.org/officeDocument/2006/relationships/hyperlink" Target="mailto:zakazkycko@vlada.gov.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zakazkycko@vlada.gov.sk"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5214CA" w:rsidP="005214CA">
          <w:pPr>
            <w:pStyle w:val="A1DE1FAF9C3142D9B35DEB35D3F6137F2"/>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5214CA" w:rsidP="005214CA">
          <w:pPr>
            <w:pStyle w:val="372C34084E1F4CE5A1739291D068FBF62"/>
          </w:pPr>
          <w:r w:rsidRPr="00F64F3B">
            <w:rPr>
              <w:rStyle w:val="Zstupntext"/>
              <w:rFonts w:eastAsiaTheme="minorHAnsi"/>
            </w:rPr>
            <w:t>Vyberte položku.</w:t>
          </w:r>
        </w:p>
      </w:docPartBody>
    </w:docPart>
    <w:docPart>
      <w:docPartPr>
        <w:name w:val="A4219D09901046338368609D5773AFBF"/>
        <w:category>
          <w:name w:val="Všeobecné"/>
          <w:gallery w:val="placeholder"/>
        </w:category>
        <w:types>
          <w:type w:val="bbPlcHdr"/>
        </w:types>
        <w:behaviors>
          <w:behavior w:val="content"/>
        </w:behaviors>
        <w:guid w:val="{4F123685-DE09-4DA5-918D-05840144035D}"/>
      </w:docPartPr>
      <w:docPartBody>
        <w:p w:rsidR="005214CA" w:rsidRDefault="005214CA" w:rsidP="005214CA">
          <w:pPr>
            <w:pStyle w:val="A4219D09901046338368609D5773AFBF1"/>
          </w:pPr>
          <w:r w:rsidRPr="00F64F3B">
            <w:rPr>
              <w:rStyle w:val="Zstupntext"/>
              <w:rFonts w:eastAsiaTheme="minorHAnsi"/>
            </w:rPr>
            <w:t>Vyberte položku.</w:t>
          </w:r>
        </w:p>
      </w:docPartBody>
    </w:docPart>
    <w:docPart>
      <w:docPartPr>
        <w:name w:val="8195A2A97F4C40F3AEA4E7733BA42A29"/>
        <w:category>
          <w:name w:val="Všeobecné"/>
          <w:gallery w:val="placeholder"/>
        </w:category>
        <w:types>
          <w:type w:val="bbPlcHdr"/>
        </w:types>
        <w:behaviors>
          <w:behavior w:val="content"/>
        </w:behaviors>
        <w:guid w:val="{5E026B76-ADCA-4D69-9B9F-99618E683724}"/>
      </w:docPartPr>
      <w:docPartBody>
        <w:p w:rsidR="00000000" w:rsidRDefault="00313090" w:rsidP="00313090">
          <w:pPr>
            <w:pStyle w:val="8195A2A97F4C40F3AEA4E7733BA42A29"/>
          </w:pPr>
          <w:r w:rsidRPr="00F64F3B">
            <w:rPr>
              <w:rStyle w:val="Zstupntext"/>
              <w:rFonts w:eastAsiaTheme="minorHAnsi"/>
            </w:rPr>
            <w:t>Kliknutím zadáte dátum.</w:t>
          </w:r>
        </w:p>
      </w:docPartBody>
    </w:docPart>
    <w:docPart>
      <w:docPartPr>
        <w:name w:val="A9494BB6FAA9466EB8CF5BEC6F31AD85"/>
        <w:category>
          <w:name w:val="Všeobecné"/>
          <w:gallery w:val="placeholder"/>
        </w:category>
        <w:types>
          <w:type w:val="bbPlcHdr"/>
        </w:types>
        <w:behaviors>
          <w:behavior w:val="content"/>
        </w:behaviors>
        <w:guid w:val="{63BE980C-691D-4661-AC27-E10FC7A6E4E8}"/>
      </w:docPartPr>
      <w:docPartBody>
        <w:p w:rsidR="00000000" w:rsidRDefault="00313090" w:rsidP="00313090">
          <w:pPr>
            <w:pStyle w:val="A9494BB6FAA9466EB8CF5BEC6F31AD85"/>
          </w:pPr>
          <w:r w:rsidRPr="00F64F3B">
            <w:rPr>
              <w:rStyle w:val="Zstupntext"/>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219E2"/>
    <w:rsid w:val="000E30BC"/>
    <w:rsid w:val="00313090"/>
    <w:rsid w:val="00485356"/>
    <w:rsid w:val="005214CA"/>
    <w:rsid w:val="005306C0"/>
    <w:rsid w:val="005D2394"/>
    <w:rsid w:val="005D2C52"/>
    <w:rsid w:val="00616C33"/>
    <w:rsid w:val="0066435D"/>
    <w:rsid w:val="00687B79"/>
    <w:rsid w:val="007B474A"/>
    <w:rsid w:val="007C0CE5"/>
    <w:rsid w:val="008225C7"/>
    <w:rsid w:val="00845353"/>
    <w:rsid w:val="0085402B"/>
    <w:rsid w:val="00A6022C"/>
    <w:rsid w:val="00A75E6C"/>
    <w:rsid w:val="00A93B8A"/>
    <w:rsid w:val="00AF4D2B"/>
    <w:rsid w:val="00BF116E"/>
    <w:rsid w:val="00C16CB5"/>
    <w:rsid w:val="00C458D4"/>
    <w:rsid w:val="00CE2D99"/>
    <w:rsid w:val="00DF1217"/>
    <w:rsid w:val="00E3251D"/>
    <w:rsid w:val="00EF710B"/>
    <w:rsid w:val="00F527D5"/>
    <w:rsid w:val="00F92D19"/>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13090"/>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C438CDECBB774123926E36EC328124C81">
    <w:name w:val="C438CDECBB774123926E36EC328124C81"/>
    <w:rsid w:val="00A93B8A"/>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A93B8A"/>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A93B8A"/>
    <w:pPr>
      <w:spacing w:after="0" w:line="240" w:lineRule="auto"/>
    </w:pPr>
    <w:rPr>
      <w:rFonts w:ascii="Times New Roman" w:eastAsia="Times New Roman" w:hAnsi="Times New Roman" w:cs="Times New Roman"/>
      <w:sz w:val="24"/>
      <w:szCs w:val="24"/>
    </w:rPr>
  </w:style>
  <w:style w:type="paragraph" w:customStyle="1" w:styleId="8B949C02102C48BB806712B08BA79ACC">
    <w:name w:val="8B949C02102C48BB806712B08BA79ACC"/>
    <w:rsid w:val="00A93B8A"/>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A93B8A"/>
    <w:pPr>
      <w:spacing w:after="0" w:line="240" w:lineRule="auto"/>
    </w:pPr>
    <w:rPr>
      <w:rFonts w:ascii="Times New Roman" w:eastAsia="Times New Roman" w:hAnsi="Times New Roman" w:cs="Times New Roman"/>
      <w:sz w:val="24"/>
      <w:szCs w:val="24"/>
    </w:rPr>
  </w:style>
  <w:style w:type="paragraph" w:customStyle="1" w:styleId="3FE73669B88F4A4EA76D451AA8B9BF1B">
    <w:name w:val="3FE73669B88F4A4EA76D451AA8B9BF1B"/>
    <w:rsid w:val="00A93B8A"/>
  </w:style>
  <w:style w:type="paragraph" w:customStyle="1" w:styleId="A4219D09901046338368609D5773AFBF">
    <w:name w:val="A4219D09901046338368609D5773AFBF"/>
    <w:rsid w:val="00A93B8A"/>
  </w:style>
  <w:style w:type="paragraph" w:customStyle="1" w:styleId="A4219D09901046338368609D5773AFBF1">
    <w:name w:val="A4219D09901046338368609D5773AFBF1"/>
    <w:rsid w:val="005214CA"/>
    <w:pPr>
      <w:spacing w:after="0" w:line="240" w:lineRule="auto"/>
    </w:pPr>
    <w:rPr>
      <w:rFonts w:ascii="Times New Roman" w:eastAsia="Times New Roman" w:hAnsi="Times New Roman" w:cs="Times New Roman"/>
      <w:sz w:val="24"/>
      <w:szCs w:val="24"/>
    </w:rPr>
  </w:style>
  <w:style w:type="paragraph" w:customStyle="1" w:styleId="A1DE1FAF9C3142D9B35DEB35D3F6137F2">
    <w:name w:val="A1DE1FAF9C3142D9B35DEB35D3F6137F2"/>
    <w:rsid w:val="005214CA"/>
    <w:pPr>
      <w:spacing w:after="0" w:line="240" w:lineRule="auto"/>
    </w:pPr>
    <w:rPr>
      <w:rFonts w:ascii="Times New Roman" w:eastAsia="Times New Roman" w:hAnsi="Times New Roman" w:cs="Times New Roman"/>
      <w:sz w:val="24"/>
      <w:szCs w:val="24"/>
    </w:rPr>
  </w:style>
  <w:style w:type="paragraph" w:customStyle="1" w:styleId="372C34084E1F4CE5A1739291D068FBF62">
    <w:name w:val="372C34084E1F4CE5A1739291D068FBF62"/>
    <w:rsid w:val="005214CA"/>
    <w:pPr>
      <w:spacing w:after="0" w:line="240" w:lineRule="auto"/>
    </w:pPr>
    <w:rPr>
      <w:rFonts w:ascii="Times New Roman" w:eastAsia="Times New Roman" w:hAnsi="Times New Roman" w:cs="Times New Roman"/>
      <w:sz w:val="24"/>
      <w:szCs w:val="24"/>
    </w:rPr>
  </w:style>
  <w:style w:type="paragraph" w:customStyle="1" w:styleId="8B949C02102C48BB806712B08BA79ACC1">
    <w:name w:val="8B949C02102C48BB806712B08BA79ACC1"/>
    <w:rsid w:val="005214CA"/>
    <w:pPr>
      <w:spacing w:after="0" w:line="240" w:lineRule="auto"/>
    </w:pPr>
    <w:rPr>
      <w:rFonts w:ascii="Times New Roman" w:eastAsia="Times New Roman" w:hAnsi="Times New Roman" w:cs="Times New Roman"/>
      <w:sz w:val="24"/>
      <w:szCs w:val="24"/>
    </w:rPr>
  </w:style>
  <w:style w:type="paragraph" w:customStyle="1" w:styleId="A9F731F61A7042F186F5DB555D9179092">
    <w:name w:val="A9F731F61A7042F186F5DB555D9179092"/>
    <w:rsid w:val="005214CA"/>
    <w:pPr>
      <w:spacing w:after="0" w:line="240" w:lineRule="auto"/>
    </w:pPr>
    <w:rPr>
      <w:rFonts w:ascii="Times New Roman" w:eastAsia="Times New Roman" w:hAnsi="Times New Roman" w:cs="Times New Roman"/>
      <w:sz w:val="24"/>
      <w:szCs w:val="24"/>
    </w:rPr>
  </w:style>
  <w:style w:type="paragraph" w:customStyle="1" w:styleId="52785AF6005143A195B05B73E3AAD317">
    <w:name w:val="52785AF6005143A195B05B73E3AAD317"/>
    <w:rsid w:val="005D2394"/>
  </w:style>
  <w:style w:type="paragraph" w:customStyle="1" w:styleId="8195A2A97F4C40F3AEA4E7733BA42A29">
    <w:name w:val="8195A2A97F4C40F3AEA4E7733BA42A29"/>
    <w:rsid w:val="00313090"/>
    <w:pPr>
      <w:spacing w:after="160" w:line="259" w:lineRule="auto"/>
    </w:pPr>
  </w:style>
  <w:style w:type="paragraph" w:customStyle="1" w:styleId="A9494BB6FAA9466EB8CF5BEC6F31AD85">
    <w:name w:val="A9494BB6FAA9466EB8CF5BEC6F31AD85"/>
    <w:rsid w:val="0031309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37D4F-6CB6-45CB-8ADB-2C6710489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4848</Words>
  <Characters>27639</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32423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CKO</cp:lastModifiedBy>
  <cp:revision>11</cp:revision>
  <cp:lastPrinted>2014-06-27T08:05:00Z</cp:lastPrinted>
  <dcterms:created xsi:type="dcterms:W3CDTF">2018-10-09T13:02:00Z</dcterms:created>
  <dcterms:modified xsi:type="dcterms:W3CDTF">2018-10-09T13:23:00Z</dcterms:modified>
</cp:coreProperties>
</file>